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F63DB7">
      <w:pPr>
        <w:spacing w:line="400" w:lineRule="exact"/>
        <w:jc w:val="center"/>
        <w:rPr>
          <w:b/>
          <w:sz w:val="32"/>
          <w:szCs w:val="32"/>
          <w:highlight w:val="none"/>
        </w:rPr>
      </w:pPr>
    </w:p>
    <w:p w14:paraId="0F0F990A">
      <w:pPr>
        <w:pStyle w:val="9"/>
        <w:rPr>
          <w:highlight w:val="none"/>
        </w:rPr>
      </w:pPr>
    </w:p>
    <w:p w14:paraId="4E063A52">
      <w:pPr>
        <w:pStyle w:val="37"/>
        <w:ind w:firstLine="0"/>
        <w:jc w:val="center"/>
        <w:rPr>
          <w:rFonts w:ascii="方正小标宋简体" w:eastAsia="方正小标宋简体"/>
          <w:bCs/>
          <w:sz w:val="52"/>
          <w:szCs w:val="52"/>
          <w:highlight w:val="none"/>
        </w:rPr>
      </w:pPr>
      <w:r>
        <w:rPr>
          <w:rFonts w:hint="eastAsia" w:ascii="方正小标宋简体" w:eastAsia="方正小标宋简体"/>
          <w:bCs/>
          <w:sz w:val="52"/>
          <w:szCs w:val="52"/>
          <w:highlight w:val="none"/>
        </w:rPr>
        <w:t>如皋市政府采购竞争性谈判文件</w:t>
      </w:r>
    </w:p>
    <w:p w14:paraId="67FBD548">
      <w:pPr>
        <w:pStyle w:val="37"/>
        <w:ind w:firstLine="0"/>
        <w:jc w:val="center"/>
        <w:rPr>
          <w:rFonts w:ascii="方正小标宋简体" w:eastAsia="方正小标宋简体"/>
          <w:bCs/>
          <w:sz w:val="44"/>
          <w:szCs w:val="44"/>
          <w:highlight w:val="none"/>
        </w:rPr>
      </w:pPr>
    </w:p>
    <w:p w14:paraId="697F51B8">
      <w:pPr>
        <w:pStyle w:val="37"/>
        <w:rPr>
          <w:rFonts w:hint="default" w:eastAsia="宋体"/>
          <w:b/>
          <w:bCs/>
          <w:sz w:val="32"/>
          <w:highlight w:val="none"/>
          <w:u w:val="single"/>
          <w:lang w:val="en-US" w:eastAsia="zh-CN"/>
        </w:rPr>
      </w:pPr>
      <w:r>
        <w:rPr>
          <w:b/>
          <w:bCs/>
          <w:sz w:val="32"/>
          <w:highlight w:val="none"/>
        </w:rPr>
        <w:t>项目名称：</w:t>
      </w:r>
      <w:r>
        <w:rPr>
          <w:rFonts w:hint="eastAsia"/>
          <w:b/>
          <w:bCs/>
          <w:sz w:val="32"/>
          <w:highlight w:val="none"/>
          <w:lang w:val="en-US" w:eastAsia="zh-CN"/>
        </w:rPr>
        <w:t>如皋市高级技工学校钳工职业技能鉴定设备</w:t>
      </w:r>
    </w:p>
    <w:p w14:paraId="15E31C4B">
      <w:pPr>
        <w:pStyle w:val="37"/>
        <w:rPr>
          <w:rFonts w:hint="eastAsia" w:eastAsia="宋体"/>
          <w:b/>
          <w:bCs/>
          <w:sz w:val="32"/>
          <w:highlight w:val="none"/>
          <w:u w:val="single"/>
          <w:lang w:eastAsia="zh-CN"/>
        </w:rPr>
      </w:pPr>
      <w:r>
        <w:rPr>
          <w:rFonts w:hint="eastAsia"/>
          <w:b/>
          <w:bCs/>
          <w:sz w:val="32"/>
          <w:highlight w:val="none"/>
        </w:rPr>
        <w:t>项目编号：JSZC-320682-JSJW-T2025-0098</w:t>
      </w:r>
      <w:r>
        <w:rPr>
          <w:rFonts w:hint="eastAsia"/>
          <w:b/>
          <w:bCs/>
          <w:sz w:val="32"/>
          <w:highlight w:val="none"/>
          <w:lang w:eastAsia="zh-CN"/>
        </w:rPr>
        <w:t xml:space="preserve"> </w:t>
      </w:r>
    </w:p>
    <w:p w14:paraId="4F96E1BB">
      <w:pPr>
        <w:pStyle w:val="37"/>
        <w:ind w:firstLine="0"/>
        <w:jc w:val="center"/>
        <w:rPr>
          <w:b/>
          <w:bCs/>
          <w:sz w:val="32"/>
          <w:highlight w:val="none"/>
        </w:rPr>
      </w:pPr>
    </w:p>
    <w:p w14:paraId="2C15A837">
      <w:pPr>
        <w:pStyle w:val="37"/>
        <w:ind w:firstLine="0"/>
        <w:jc w:val="center"/>
        <w:rPr>
          <w:b/>
          <w:bCs/>
          <w:sz w:val="32"/>
          <w:highlight w:val="none"/>
        </w:rPr>
      </w:pPr>
    </w:p>
    <w:p w14:paraId="5A1D7B74">
      <w:pPr>
        <w:pStyle w:val="37"/>
        <w:ind w:firstLine="0"/>
        <w:jc w:val="center"/>
        <w:rPr>
          <w:b/>
          <w:bCs/>
          <w:sz w:val="32"/>
          <w:highlight w:val="none"/>
        </w:rPr>
      </w:pPr>
    </w:p>
    <w:p w14:paraId="62958C19">
      <w:pPr>
        <w:pStyle w:val="37"/>
        <w:ind w:firstLine="0"/>
        <w:jc w:val="center"/>
        <w:rPr>
          <w:b/>
          <w:bCs/>
          <w:sz w:val="32"/>
          <w:highlight w:val="none"/>
        </w:rPr>
      </w:pPr>
    </w:p>
    <w:p w14:paraId="52C4DAC9">
      <w:pPr>
        <w:pStyle w:val="37"/>
        <w:ind w:firstLine="0"/>
        <w:jc w:val="center"/>
        <w:rPr>
          <w:b/>
          <w:bCs/>
          <w:sz w:val="32"/>
          <w:highlight w:val="none"/>
        </w:rPr>
      </w:pPr>
    </w:p>
    <w:p w14:paraId="45A3A5E6">
      <w:pPr>
        <w:pStyle w:val="37"/>
        <w:ind w:firstLine="0"/>
        <w:jc w:val="center"/>
        <w:rPr>
          <w:b/>
          <w:bCs/>
          <w:sz w:val="32"/>
          <w:highlight w:val="none"/>
        </w:rPr>
      </w:pPr>
    </w:p>
    <w:p w14:paraId="6268D8DD">
      <w:pPr>
        <w:pStyle w:val="37"/>
        <w:ind w:firstLine="0"/>
        <w:jc w:val="center"/>
        <w:rPr>
          <w:b/>
          <w:bCs/>
          <w:sz w:val="32"/>
          <w:highlight w:val="none"/>
        </w:rPr>
      </w:pPr>
    </w:p>
    <w:p w14:paraId="4B5E74D1">
      <w:pPr>
        <w:pStyle w:val="37"/>
        <w:ind w:firstLine="993" w:firstLineChars="309"/>
        <w:rPr>
          <w:rFonts w:hint="eastAsia" w:eastAsia="宋体"/>
          <w:b/>
          <w:bCs/>
          <w:sz w:val="32"/>
          <w:highlight w:val="none"/>
          <w:u w:val="none"/>
          <w:lang w:eastAsia="zh-CN"/>
        </w:rPr>
      </w:pPr>
      <w:r>
        <w:rPr>
          <w:rFonts w:hint="eastAsia"/>
          <w:b/>
          <w:bCs/>
          <w:sz w:val="32"/>
          <w:highlight w:val="none"/>
          <w:u w:val="none"/>
        </w:rPr>
        <w:t>采购人名称：</w:t>
      </w:r>
      <w:r>
        <w:rPr>
          <w:rFonts w:hint="eastAsia"/>
          <w:b/>
          <w:bCs/>
          <w:sz w:val="32"/>
          <w:highlight w:val="none"/>
          <w:u w:val="none"/>
          <w:lang w:eastAsia="zh-CN"/>
        </w:rPr>
        <w:t>如皋市高级技工学校</w:t>
      </w:r>
    </w:p>
    <w:p w14:paraId="2A0CA21B">
      <w:pPr>
        <w:pStyle w:val="37"/>
        <w:ind w:firstLine="964" w:firstLineChars="300"/>
        <w:rPr>
          <w:rFonts w:hint="eastAsia" w:eastAsia="宋体"/>
          <w:b/>
          <w:bCs/>
          <w:sz w:val="32"/>
          <w:highlight w:val="none"/>
          <w:u w:val="none"/>
          <w:lang w:eastAsia="zh-CN"/>
        </w:rPr>
      </w:pPr>
      <w:r>
        <w:rPr>
          <w:rFonts w:hint="eastAsia"/>
          <w:b/>
          <w:bCs/>
          <w:sz w:val="32"/>
          <w:highlight w:val="none"/>
          <w:u w:val="none"/>
        </w:rPr>
        <w:t>采购代理机构名称：</w:t>
      </w:r>
      <w:r>
        <w:rPr>
          <w:rFonts w:hint="eastAsia"/>
          <w:b/>
          <w:bCs/>
          <w:sz w:val="32"/>
          <w:highlight w:val="none"/>
          <w:u w:val="none"/>
          <w:lang w:eastAsia="zh-CN"/>
        </w:rPr>
        <w:t>江苏建威建设管理有限公司</w:t>
      </w:r>
    </w:p>
    <w:p w14:paraId="281B453F">
      <w:pPr>
        <w:pStyle w:val="37"/>
        <w:ind w:firstLine="993" w:firstLineChars="309"/>
        <w:rPr>
          <w:rFonts w:hint="eastAsia"/>
          <w:b/>
          <w:bCs/>
          <w:sz w:val="32"/>
          <w:highlight w:val="none"/>
          <w:u w:val="none"/>
        </w:rPr>
      </w:pPr>
    </w:p>
    <w:p w14:paraId="10AB989B">
      <w:pPr>
        <w:pStyle w:val="37"/>
        <w:ind w:firstLine="0"/>
        <w:jc w:val="center"/>
        <w:rPr>
          <w:b/>
          <w:bCs/>
          <w:sz w:val="32"/>
          <w:highlight w:val="none"/>
          <w:u w:val="none"/>
        </w:rPr>
      </w:pPr>
      <w:r>
        <w:rPr>
          <w:b/>
          <w:bCs/>
          <w:sz w:val="32"/>
          <w:highlight w:val="none"/>
          <w:u w:val="none"/>
        </w:rPr>
        <w:t>202</w:t>
      </w:r>
      <w:r>
        <w:rPr>
          <w:rFonts w:hint="eastAsia"/>
          <w:b/>
          <w:bCs/>
          <w:sz w:val="32"/>
          <w:highlight w:val="none"/>
          <w:u w:val="none"/>
          <w:lang w:val="en-US" w:eastAsia="zh-CN"/>
        </w:rPr>
        <w:t>5</w:t>
      </w:r>
      <w:r>
        <w:rPr>
          <w:rFonts w:hint="eastAsia"/>
          <w:b/>
          <w:bCs/>
          <w:sz w:val="32"/>
          <w:highlight w:val="none"/>
          <w:u w:val="none"/>
        </w:rPr>
        <w:t>年</w:t>
      </w:r>
      <w:r>
        <w:rPr>
          <w:rFonts w:hint="eastAsia"/>
          <w:b/>
          <w:bCs/>
          <w:sz w:val="32"/>
          <w:highlight w:val="none"/>
          <w:u w:val="none"/>
          <w:lang w:val="en-US" w:eastAsia="zh-CN"/>
        </w:rPr>
        <w:t>12</w:t>
      </w:r>
      <w:r>
        <w:rPr>
          <w:rFonts w:hint="eastAsia"/>
          <w:b/>
          <w:bCs/>
          <w:sz w:val="32"/>
          <w:highlight w:val="none"/>
          <w:u w:val="none"/>
        </w:rPr>
        <w:t>月</w:t>
      </w:r>
      <w:r>
        <w:rPr>
          <w:rFonts w:hint="eastAsia"/>
          <w:b/>
          <w:bCs/>
          <w:sz w:val="32"/>
          <w:highlight w:val="none"/>
          <w:u w:val="none"/>
          <w:lang w:val="en-US" w:eastAsia="zh-CN"/>
        </w:rPr>
        <w:t>16</w:t>
      </w:r>
      <w:r>
        <w:rPr>
          <w:rFonts w:hint="eastAsia"/>
          <w:b/>
          <w:bCs/>
          <w:sz w:val="32"/>
          <w:highlight w:val="none"/>
          <w:u w:val="none"/>
        </w:rPr>
        <w:t>日</w:t>
      </w:r>
    </w:p>
    <w:p w14:paraId="68E5B043">
      <w:pPr>
        <w:pStyle w:val="37"/>
        <w:ind w:firstLine="0"/>
        <w:jc w:val="center"/>
        <w:rPr>
          <w:rFonts w:ascii="方正小标宋简体" w:eastAsia="方正小标宋简体"/>
          <w:bCs/>
          <w:sz w:val="32"/>
          <w:szCs w:val="32"/>
          <w:highlight w:val="none"/>
        </w:rPr>
      </w:pPr>
      <w:r>
        <w:rPr>
          <w:b/>
          <w:bCs/>
          <w:sz w:val="32"/>
          <w:highlight w:val="none"/>
        </w:rPr>
        <w:br w:type="page"/>
      </w:r>
      <w:r>
        <w:rPr>
          <w:rFonts w:hint="eastAsia" w:ascii="方正小标宋简体" w:eastAsia="方正小标宋简体"/>
          <w:bCs/>
          <w:sz w:val="32"/>
          <w:szCs w:val="32"/>
          <w:highlight w:val="none"/>
        </w:rPr>
        <w:t>第1章 竞争性谈判公告</w:t>
      </w:r>
    </w:p>
    <w:p w14:paraId="080B1624">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0" w:name="_Toc35393629"/>
      <w:bookmarkStart w:id="1" w:name="_Toc35393798"/>
      <w:bookmarkStart w:id="2" w:name="_Toc28359089"/>
      <w:bookmarkStart w:id="3" w:name="_Toc28359012"/>
      <w:bookmarkStart w:id="4" w:name="OLE_LINK2"/>
      <w:r>
        <w:rPr>
          <w:rFonts w:hint="eastAsia" w:ascii="黑体" w:hAnsi="黑体" w:eastAsia="黑体"/>
          <w:sz w:val="28"/>
          <w:szCs w:val="28"/>
          <w:highlight w:val="none"/>
        </w:rPr>
        <w:t>一、项目基本情况</w:t>
      </w:r>
      <w:bookmarkEnd w:id="0"/>
      <w:bookmarkEnd w:id="1"/>
      <w:bookmarkEnd w:id="2"/>
      <w:bookmarkEnd w:id="3"/>
    </w:p>
    <w:p w14:paraId="2506F0C2">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bookmarkStart w:id="5" w:name="_Toc35393630"/>
      <w:bookmarkStart w:id="6" w:name="_Toc35393799"/>
      <w:bookmarkStart w:id="7" w:name="_Toc28359013"/>
      <w:bookmarkStart w:id="8" w:name="_Toc28359090"/>
      <w:r>
        <w:rPr>
          <w:rFonts w:hint="eastAsia" w:ascii="仿宋" w:hAnsi="仿宋" w:eastAsia="仿宋"/>
          <w:sz w:val="28"/>
          <w:szCs w:val="28"/>
          <w:highlight w:val="none"/>
        </w:rPr>
        <w:t>1.项目名称：</w:t>
      </w:r>
      <w:r>
        <w:rPr>
          <w:rFonts w:hint="eastAsia" w:ascii="仿宋" w:hAnsi="仿宋" w:eastAsia="仿宋" w:cs="Times New Roman"/>
          <w:sz w:val="28"/>
          <w:szCs w:val="28"/>
          <w:highlight w:val="none"/>
          <w:lang w:val="en-US" w:eastAsia="zh-CN"/>
        </w:rPr>
        <w:t>如皋市高级技工学校钳工职业技能鉴定设备</w:t>
      </w:r>
    </w:p>
    <w:p w14:paraId="065A5D6B">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2.计划编号：JSZC-320682-JSJW-T2025-0098</w:t>
      </w:r>
      <w:r>
        <w:rPr>
          <w:rFonts w:hint="eastAsia" w:ascii="仿宋" w:hAnsi="仿宋" w:eastAsia="仿宋"/>
          <w:sz w:val="28"/>
          <w:szCs w:val="28"/>
          <w:highlight w:val="none"/>
          <w:lang w:eastAsia="zh-CN"/>
        </w:rPr>
        <w:t xml:space="preserve"> </w:t>
      </w:r>
    </w:p>
    <w:p w14:paraId="544F286A">
      <w:pPr>
        <w:keepNext w:val="0"/>
        <w:keepLines w:val="0"/>
        <w:pageBreakBefore w:val="0"/>
        <w:kinsoku/>
        <w:wordWrap/>
        <w:overflowPunct/>
        <w:topLinePunct w:val="0"/>
        <w:autoSpaceDE/>
        <w:autoSpaceDN/>
        <w:bidi w:val="0"/>
        <w:spacing w:line="46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3.预算金额：</w:t>
      </w:r>
      <w:r>
        <w:rPr>
          <w:rFonts w:hint="eastAsia" w:ascii="仿宋" w:hAnsi="仿宋" w:eastAsia="仿宋"/>
          <w:sz w:val="28"/>
          <w:szCs w:val="28"/>
          <w:highlight w:val="none"/>
          <w:lang w:val="en-US" w:eastAsia="zh-CN"/>
        </w:rPr>
        <w:t>120万元</w:t>
      </w:r>
    </w:p>
    <w:p w14:paraId="53D78405">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rPr>
        <w:t>4.最高限价：</w:t>
      </w:r>
      <w:r>
        <w:rPr>
          <w:rFonts w:hint="eastAsia" w:ascii="仿宋" w:hAnsi="仿宋" w:eastAsia="仿宋"/>
          <w:sz w:val="28"/>
          <w:szCs w:val="28"/>
          <w:highlight w:val="none"/>
          <w:lang w:val="en-US" w:eastAsia="zh-CN"/>
        </w:rPr>
        <w:t>120万元</w:t>
      </w:r>
    </w:p>
    <w:p w14:paraId="31DD98C8">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u w:val="single"/>
        </w:rPr>
      </w:pPr>
      <w:r>
        <w:rPr>
          <w:rFonts w:hint="eastAsia" w:ascii="仿宋" w:hAnsi="仿宋" w:eastAsia="仿宋"/>
          <w:sz w:val="28"/>
          <w:szCs w:val="28"/>
          <w:highlight w:val="none"/>
        </w:rPr>
        <w:t>5.采购需求：详见第三章。</w:t>
      </w:r>
    </w:p>
    <w:p w14:paraId="10CB1C87">
      <w:pPr>
        <w:keepNext w:val="0"/>
        <w:keepLines w:val="0"/>
        <w:pageBreakBefore w:val="0"/>
        <w:kinsoku/>
        <w:wordWrap/>
        <w:overflowPunct/>
        <w:topLinePunct w:val="0"/>
        <w:autoSpaceDE/>
        <w:autoSpaceDN/>
        <w:bidi w:val="0"/>
        <w:spacing w:line="460" w:lineRule="exact"/>
        <w:ind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rPr>
        <w:t>6.合同履行期限：自合同签订之日起</w:t>
      </w:r>
      <w:r>
        <w:rPr>
          <w:rFonts w:hint="eastAsia" w:ascii="仿宋" w:hAnsi="仿宋" w:eastAsia="仿宋"/>
          <w:sz w:val="28"/>
          <w:szCs w:val="28"/>
          <w:highlight w:val="none"/>
          <w:lang w:val="en-US" w:eastAsia="zh-CN"/>
        </w:rPr>
        <w:t>40日历天</w:t>
      </w:r>
      <w:r>
        <w:rPr>
          <w:rFonts w:hint="eastAsia" w:ascii="仿宋" w:hAnsi="仿宋" w:eastAsia="仿宋"/>
          <w:sz w:val="28"/>
          <w:szCs w:val="28"/>
          <w:highlight w:val="none"/>
        </w:rPr>
        <w:t>内，完成</w:t>
      </w:r>
      <w:r>
        <w:rPr>
          <w:rFonts w:hint="eastAsia" w:ascii="仿宋" w:hAnsi="仿宋" w:eastAsia="仿宋"/>
          <w:sz w:val="28"/>
          <w:szCs w:val="28"/>
          <w:highlight w:val="none"/>
          <w:lang w:val="en-US" w:eastAsia="zh-CN"/>
        </w:rPr>
        <w:t>供货、</w:t>
      </w:r>
      <w:r>
        <w:rPr>
          <w:rFonts w:hint="eastAsia" w:ascii="仿宋" w:hAnsi="仿宋" w:eastAsia="仿宋"/>
          <w:sz w:val="28"/>
          <w:szCs w:val="28"/>
          <w:highlight w:val="none"/>
        </w:rPr>
        <w:t>安装、培训、检验合格、交付使用</w:t>
      </w:r>
      <w:r>
        <w:rPr>
          <w:rFonts w:hint="eastAsia" w:ascii="仿宋" w:hAnsi="仿宋" w:eastAsia="仿宋"/>
          <w:sz w:val="28"/>
          <w:szCs w:val="28"/>
          <w:highlight w:val="none"/>
          <w:lang w:eastAsia="zh-CN"/>
        </w:rPr>
        <w:t>。</w:t>
      </w:r>
      <w:r>
        <w:rPr>
          <w:rFonts w:hint="eastAsia" w:ascii="仿宋" w:hAnsi="仿宋" w:eastAsia="仿宋"/>
          <w:sz w:val="28"/>
          <w:szCs w:val="28"/>
          <w:highlight w:val="none"/>
        </w:rPr>
        <w:t xml:space="preserve"> </w:t>
      </w:r>
    </w:p>
    <w:p w14:paraId="04DCFC8C">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u w:val="single"/>
          <w:lang w:eastAsia="zh-CN"/>
        </w:rPr>
      </w:pPr>
      <w:r>
        <w:rPr>
          <w:rFonts w:hint="eastAsia" w:ascii="仿宋" w:hAnsi="仿宋" w:eastAsia="仿宋"/>
          <w:sz w:val="28"/>
          <w:szCs w:val="28"/>
          <w:highlight w:val="none"/>
        </w:rPr>
        <w:t>7.本项目是否接受进口产品：</w:t>
      </w:r>
      <w:r>
        <w:rPr>
          <w:rFonts w:hint="eastAsia" w:ascii="仿宋" w:hAnsi="仿宋" w:eastAsia="仿宋"/>
          <w:sz w:val="28"/>
          <w:szCs w:val="28"/>
          <w:highlight w:val="none"/>
          <w:lang w:val="en-US" w:eastAsia="zh-CN"/>
        </w:rPr>
        <w:t>否</w:t>
      </w:r>
      <w:r>
        <w:rPr>
          <w:rFonts w:hint="eastAsia" w:ascii="仿宋" w:hAnsi="仿宋" w:eastAsia="仿宋"/>
          <w:sz w:val="28"/>
          <w:szCs w:val="28"/>
          <w:highlight w:val="none"/>
        </w:rPr>
        <w:t>。</w:t>
      </w:r>
    </w:p>
    <w:p w14:paraId="279BA66D">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8.本项目是否接受联合体：</w:t>
      </w:r>
      <w:r>
        <w:rPr>
          <w:rFonts w:hint="eastAsia" w:ascii="仿宋" w:hAnsi="仿宋" w:eastAsia="仿宋"/>
          <w:sz w:val="28"/>
          <w:szCs w:val="28"/>
          <w:highlight w:val="none"/>
          <w:lang w:val="en-US" w:eastAsia="zh-CN"/>
        </w:rPr>
        <w:t>否</w:t>
      </w:r>
      <w:r>
        <w:rPr>
          <w:rFonts w:hint="eastAsia" w:ascii="仿宋" w:hAnsi="仿宋" w:eastAsia="仿宋"/>
          <w:sz w:val="28"/>
          <w:szCs w:val="28"/>
          <w:highlight w:val="none"/>
        </w:rPr>
        <w:t>。</w:t>
      </w:r>
    </w:p>
    <w:p w14:paraId="12369012">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9.本项目是否专门面向中小企业采购：</w:t>
      </w:r>
      <w:r>
        <w:rPr>
          <w:rFonts w:hint="eastAsia" w:ascii="仿宋" w:hAnsi="仿宋" w:eastAsia="仿宋"/>
          <w:sz w:val="28"/>
          <w:szCs w:val="28"/>
          <w:highlight w:val="none"/>
          <w:lang w:val="en-US" w:eastAsia="zh-CN"/>
        </w:rPr>
        <w:t>否</w:t>
      </w:r>
      <w:r>
        <w:rPr>
          <w:rFonts w:hint="eastAsia" w:ascii="仿宋" w:hAnsi="仿宋" w:eastAsia="仿宋"/>
          <w:sz w:val="28"/>
          <w:szCs w:val="28"/>
          <w:highlight w:val="none"/>
        </w:rPr>
        <w:t>。</w:t>
      </w:r>
    </w:p>
    <w:p w14:paraId="7EB73C56">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color w:val="FF0000"/>
          <w:sz w:val="28"/>
          <w:szCs w:val="28"/>
          <w:highlight w:val="none"/>
        </w:rPr>
      </w:pPr>
      <w:r>
        <w:rPr>
          <w:rFonts w:hint="eastAsia" w:ascii="仿宋" w:hAnsi="仿宋" w:eastAsia="仿宋"/>
          <w:sz w:val="28"/>
          <w:szCs w:val="28"/>
          <w:highlight w:val="none"/>
        </w:rPr>
        <w:t>10.项目类型：</w:t>
      </w:r>
      <w:r>
        <w:rPr>
          <w:rFonts w:hint="eastAsia" w:ascii="仿宋" w:hAnsi="仿宋" w:eastAsia="仿宋"/>
          <w:sz w:val="28"/>
          <w:szCs w:val="28"/>
          <w:highlight w:val="none"/>
          <w:lang w:val="en-US" w:eastAsia="zh-CN"/>
        </w:rPr>
        <w:t>货物</w:t>
      </w:r>
      <w:r>
        <w:rPr>
          <w:rFonts w:hint="eastAsia" w:ascii="仿宋" w:hAnsi="仿宋" w:eastAsia="仿宋"/>
          <w:sz w:val="28"/>
          <w:szCs w:val="28"/>
          <w:highlight w:val="none"/>
        </w:rPr>
        <w:t>。</w:t>
      </w:r>
    </w:p>
    <w:p w14:paraId="1495DEBD">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11.项目所属行业：</w:t>
      </w:r>
      <w:r>
        <w:rPr>
          <w:rFonts w:hint="eastAsia" w:ascii="仿宋" w:hAnsi="仿宋" w:eastAsia="仿宋"/>
          <w:sz w:val="28"/>
          <w:szCs w:val="28"/>
          <w:highlight w:val="none"/>
          <w:lang w:val="en-US" w:eastAsia="zh-CN"/>
        </w:rPr>
        <w:t>工</w:t>
      </w:r>
      <w:r>
        <w:rPr>
          <w:rFonts w:hint="eastAsia" w:ascii="仿宋" w:hAnsi="仿宋" w:eastAsia="仿宋" w:cs="Times New Roman"/>
          <w:sz w:val="28"/>
          <w:szCs w:val="28"/>
          <w:highlight w:val="none"/>
          <w:lang w:val="en-US" w:eastAsia="zh-CN"/>
        </w:rPr>
        <w:t>业。</w:t>
      </w:r>
    </w:p>
    <w:p w14:paraId="76F5CF2E">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二、响应人的资格要求：</w:t>
      </w:r>
      <w:bookmarkEnd w:id="5"/>
      <w:bookmarkEnd w:id="6"/>
      <w:bookmarkEnd w:id="7"/>
      <w:bookmarkEnd w:id="8"/>
    </w:p>
    <w:p w14:paraId="41758E0E">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1.《中华人民共和国政府采购法》第二十二条规定的条件：</w:t>
      </w:r>
    </w:p>
    <w:p w14:paraId="1351E7E5">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bookmarkStart w:id="9" w:name="_Toc28359091"/>
      <w:bookmarkStart w:id="10" w:name="_Toc28359014"/>
      <w:r>
        <w:rPr>
          <w:rFonts w:hint="eastAsia" w:ascii="仿宋" w:hAnsi="仿宋" w:eastAsia="仿宋"/>
          <w:sz w:val="28"/>
          <w:szCs w:val="28"/>
          <w:highlight w:val="none"/>
        </w:rPr>
        <w:t>（1）具有独立承担民事责任的能力;</w:t>
      </w:r>
    </w:p>
    <w:p w14:paraId="43C10CC2">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（2）具有良好的商业信誉和健全的财务会计制度;</w:t>
      </w:r>
    </w:p>
    <w:p w14:paraId="703F8C87">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（3）具有履行合同所必需的设备和专业技术能力;</w:t>
      </w:r>
    </w:p>
    <w:p w14:paraId="4189922B">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（4）有依法缴纳税收和社会保障资金的良好记录;</w:t>
      </w:r>
    </w:p>
    <w:p w14:paraId="09E3DEE3">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（5）参加政府采购活动前三年内，在经营活动中没有重大违法记录;</w:t>
      </w:r>
    </w:p>
    <w:p w14:paraId="4BDE113E">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（6）法律、行政法规规定的其他条件。</w:t>
      </w:r>
    </w:p>
    <w:p w14:paraId="24CE63CC">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 落实政府采购政策需满足的资格要求：</w:t>
      </w:r>
    </w:p>
    <w:p w14:paraId="7DAA7C86">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p>
    <w:p w14:paraId="3BC9AFCE">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（2）响应产品属于财政部、国家发改委公布的“节能产品品目清单”范围内的，须提供国家确定的认证机构出具的、处于有效期之内的节能产品认证证书复印件,以及全国认证认可信息公共服务平台查询截图。</w:t>
      </w:r>
    </w:p>
    <w:p w14:paraId="62534AFA">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响应产品如属于财政部、生态环境部公布的“环境标志产品品目清单”范围内的，须提供国家确定的认证机构出具的、处于有效期内的环境标志产品认证证书复印件,以及全国认证认可信息公共服务平台查询截图。</w:t>
      </w:r>
    </w:p>
    <w:p w14:paraId="0286E834">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13616137">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4. 本项目的特定资格要求：响应供应商应具有有效营业执照</w:t>
      </w:r>
      <w:r>
        <w:rPr>
          <w:rFonts w:hint="eastAsia" w:ascii="仿宋" w:hAnsi="仿宋" w:eastAsia="仿宋"/>
          <w:sz w:val="28"/>
          <w:szCs w:val="28"/>
          <w:highlight w:val="none"/>
          <w:lang w:eastAsia="zh-CN"/>
        </w:rPr>
        <w:t>。</w:t>
      </w:r>
    </w:p>
    <w:p w14:paraId="2DCFB14C">
      <w:pPr>
        <w:keepNext w:val="0"/>
        <w:keepLines w:val="0"/>
        <w:pageBreakBefore w:val="0"/>
        <w:kinsoku/>
        <w:wordWrap/>
        <w:overflowPunct/>
        <w:topLinePunct w:val="0"/>
        <w:autoSpaceDE/>
        <w:autoSpaceDN/>
        <w:bidi w:val="0"/>
        <w:spacing w:line="460" w:lineRule="exact"/>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5.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5D9B6B97">
      <w:pPr>
        <w:keepNext w:val="0"/>
        <w:keepLines w:val="0"/>
        <w:pageBreakBefore w:val="0"/>
        <w:kinsoku/>
        <w:wordWrap/>
        <w:overflowPunct/>
        <w:topLinePunct w:val="0"/>
        <w:autoSpaceDE/>
        <w:autoSpaceDN/>
        <w:bidi w:val="0"/>
        <w:spacing w:line="460" w:lineRule="exact"/>
        <w:ind w:firstLine="560" w:firstLineChars="200"/>
        <w:rPr>
          <w:highlight w:val="none"/>
        </w:rPr>
      </w:pPr>
      <w:r>
        <w:rPr>
          <w:rFonts w:hint="eastAsia" w:ascii="仿宋" w:hAnsi="仿宋" w:eastAsia="仿宋"/>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29967929">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11" w:name="_Toc35393631"/>
      <w:bookmarkStart w:id="12" w:name="_Toc35393800"/>
      <w:r>
        <w:rPr>
          <w:rFonts w:hint="eastAsia" w:ascii="黑体" w:hAnsi="黑体" w:eastAsia="黑体"/>
          <w:sz w:val="28"/>
          <w:szCs w:val="28"/>
          <w:highlight w:val="none"/>
        </w:rPr>
        <w:t>三、获取竞争性谈判文件</w:t>
      </w:r>
      <w:bookmarkEnd w:id="9"/>
      <w:bookmarkEnd w:id="10"/>
      <w:bookmarkEnd w:id="11"/>
      <w:bookmarkEnd w:id="12"/>
    </w:p>
    <w:p w14:paraId="02E53F68">
      <w:pPr>
        <w:keepNext w:val="0"/>
        <w:keepLines w:val="0"/>
        <w:pageBreakBefore w:val="0"/>
        <w:kinsoku/>
        <w:wordWrap/>
        <w:overflowPunct/>
        <w:topLinePunct w:val="0"/>
        <w:autoSpaceDE/>
        <w:autoSpaceDN/>
        <w:bidi w:val="0"/>
        <w:spacing w:line="46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1. 时间：</w:t>
      </w:r>
      <w:r>
        <w:rPr>
          <w:rFonts w:hint="eastAsia" w:eastAsia="方正仿宋_GBK"/>
          <w:color w:val="auto"/>
          <w:sz w:val="28"/>
          <w:szCs w:val="28"/>
          <w:highlight w:val="none"/>
        </w:rPr>
        <w:t>发布公告之日起</w:t>
      </w:r>
      <w:r>
        <w:rPr>
          <w:rFonts w:hint="eastAsia" w:ascii="仿宋" w:hAnsi="仿宋" w:eastAsia="仿宋" w:cs="宋体"/>
          <w:sz w:val="28"/>
          <w:szCs w:val="28"/>
          <w:highlight w:val="none"/>
        </w:rPr>
        <w:t>至</w:t>
      </w:r>
      <w:r>
        <w:rPr>
          <w:rFonts w:hint="eastAsia" w:ascii="仿宋" w:hAnsi="仿宋" w:eastAsia="仿宋" w:cs="宋体"/>
          <w:sz w:val="28"/>
          <w:szCs w:val="28"/>
          <w:highlight w:val="none"/>
          <w:lang w:val="en-US" w:eastAsia="zh-CN"/>
        </w:rPr>
        <w:t>2025</w:t>
      </w:r>
      <w:r>
        <w:rPr>
          <w:rFonts w:hint="eastAsia" w:ascii="仿宋" w:hAnsi="仿宋" w:eastAsia="仿宋" w:cs="宋体"/>
          <w:sz w:val="28"/>
          <w:szCs w:val="28"/>
          <w:highlight w:val="none"/>
        </w:rPr>
        <w:t>年</w:t>
      </w:r>
      <w:r>
        <w:rPr>
          <w:rFonts w:hint="eastAsia" w:ascii="仿宋" w:hAnsi="仿宋" w:eastAsia="仿宋" w:cs="宋体"/>
          <w:sz w:val="28"/>
          <w:szCs w:val="28"/>
          <w:highlight w:val="none"/>
          <w:lang w:val="en-US" w:eastAsia="zh-CN"/>
        </w:rPr>
        <w:t>12</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22</w:t>
      </w:r>
      <w:r>
        <w:rPr>
          <w:rFonts w:hint="eastAsia" w:ascii="仿宋" w:hAnsi="仿宋" w:eastAsia="仿宋" w:cs="宋体"/>
          <w:sz w:val="28"/>
          <w:szCs w:val="28"/>
          <w:highlight w:val="none"/>
        </w:rPr>
        <w:t>日。</w:t>
      </w:r>
    </w:p>
    <w:p w14:paraId="7D6F3A94">
      <w:pPr>
        <w:keepNext w:val="0"/>
        <w:keepLines w:val="0"/>
        <w:pageBreakBefore w:val="0"/>
        <w:kinsoku/>
        <w:wordWrap/>
        <w:overflowPunct/>
        <w:topLinePunct w:val="0"/>
        <w:autoSpaceDE/>
        <w:autoSpaceDN/>
        <w:bidi w:val="0"/>
        <w:spacing w:line="46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2. 地点：江苏省政府采购网</w:t>
      </w:r>
    </w:p>
    <w:p w14:paraId="6FFEAFDE">
      <w:pPr>
        <w:keepNext w:val="0"/>
        <w:keepLines w:val="0"/>
        <w:pageBreakBefore w:val="0"/>
        <w:kinsoku/>
        <w:wordWrap/>
        <w:overflowPunct/>
        <w:topLinePunct w:val="0"/>
        <w:autoSpaceDE/>
        <w:autoSpaceDN/>
        <w:bidi w:val="0"/>
        <w:spacing w:line="460" w:lineRule="exact"/>
        <w:ind w:firstLine="540"/>
        <w:rPr>
          <w:rFonts w:ascii="仿宋" w:hAnsi="仿宋" w:eastAsia="仿宋" w:cs="宋体"/>
          <w:sz w:val="28"/>
          <w:szCs w:val="28"/>
          <w:highlight w:val="none"/>
        </w:rPr>
      </w:pPr>
      <w:r>
        <w:rPr>
          <w:rFonts w:hint="eastAsia" w:ascii="仿宋" w:hAnsi="仿宋" w:eastAsia="仿宋" w:cs="宋体"/>
          <w:sz w:val="28"/>
          <w:szCs w:val="28"/>
          <w:highlight w:val="none"/>
        </w:rPr>
        <w:t>3. 方式：</w:t>
      </w:r>
      <w:r>
        <w:rPr>
          <w:rFonts w:hint="eastAsia" w:ascii="仿宋" w:hAnsi="仿宋" w:eastAsia="仿宋"/>
          <w:sz w:val="28"/>
          <w:szCs w:val="28"/>
          <w:highlight w:val="none"/>
        </w:rPr>
        <w:t>通过“苏采云”系统网上注册登记后获取，具体详见《江苏省政府采购管理交易系统（苏采云）</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人操作手册》。</w:t>
      </w:r>
    </w:p>
    <w:p w14:paraId="59CD50E1">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13" w:name="_Toc35393801"/>
      <w:bookmarkStart w:id="14" w:name="_Toc35393632"/>
      <w:bookmarkStart w:id="15" w:name="_Toc28359015"/>
      <w:bookmarkStart w:id="16" w:name="_Toc28359092"/>
      <w:r>
        <w:rPr>
          <w:rFonts w:hint="eastAsia" w:ascii="黑体" w:hAnsi="黑体" w:eastAsia="黑体"/>
          <w:sz w:val="28"/>
          <w:szCs w:val="28"/>
          <w:highlight w:val="none"/>
        </w:rPr>
        <w:t>四、</w:t>
      </w:r>
      <w:bookmarkEnd w:id="13"/>
      <w:bookmarkEnd w:id="14"/>
      <w:bookmarkEnd w:id="15"/>
      <w:bookmarkEnd w:id="16"/>
      <w:r>
        <w:rPr>
          <w:rFonts w:hint="eastAsia" w:ascii="黑体" w:hAnsi="黑体" w:eastAsia="黑体"/>
          <w:sz w:val="28"/>
          <w:szCs w:val="28"/>
          <w:highlight w:val="none"/>
        </w:rPr>
        <w:t>竞争性谈判响应文件提交和开启</w:t>
      </w:r>
    </w:p>
    <w:p w14:paraId="725F176D">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bCs/>
          <w:sz w:val="28"/>
          <w:szCs w:val="28"/>
          <w:highlight w:val="none"/>
          <w:u w:val="single"/>
        </w:rPr>
      </w:pPr>
      <w:r>
        <w:rPr>
          <w:rFonts w:hint="eastAsia" w:ascii="仿宋" w:hAnsi="仿宋" w:eastAsia="仿宋"/>
          <w:sz w:val="28"/>
          <w:szCs w:val="28"/>
          <w:highlight w:val="none"/>
        </w:rPr>
        <w:t>截止时间：</w:t>
      </w:r>
      <w:r>
        <w:rPr>
          <w:rFonts w:hint="eastAsia" w:ascii="仿宋" w:hAnsi="仿宋" w:eastAsia="仿宋" w:cs="宋体"/>
          <w:sz w:val="28"/>
          <w:szCs w:val="28"/>
          <w:highlight w:val="none"/>
          <w:lang w:val="en-US" w:eastAsia="zh-CN"/>
        </w:rPr>
        <w:t>2025</w:t>
      </w:r>
      <w:r>
        <w:rPr>
          <w:rFonts w:hint="eastAsia" w:ascii="仿宋" w:hAnsi="仿宋" w:eastAsia="仿宋" w:cs="宋体"/>
          <w:sz w:val="28"/>
          <w:szCs w:val="28"/>
          <w:highlight w:val="none"/>
        </w:rPr>
        <w:t>年</w:t>
      </w:r>
      <w:r>
        <w:rPr>
          <w:rFonts w:hint="eastAsia" w:ascii="仿宋" w:hAnsi="仿宋" w:eastAsia="仿宋" w:cs="宋体"/>
          <w:sz w:val="28"/>
          <w:szCs w:val="28"/>
          <w:highlight w:val="none"/>
          <w:lang w:val="en-US" w:eastAsia="zh-CN"/>
        </w:rPr>
        <w:t>12</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22</w:t>
      </w:r>
      <w:r>
        <w:rPr>
          <w:rFonts w:hint="eastAsia" w:ascii="仿宋" w:hAnsi="仿宋" w:eastAsia="仿宋" w:cs="宋体"/>
          <w:sz w:val="28"/>
          <w:szCs w:val="28"/>
          <w:highlight w:val="none"/>
        </w:rPr>
        <w:t>日</w:t>
      </w:r>
      <w:r>
        <w:rPr>
          <w:rFonts w:hint="eastAsia" w:ascii="仿宋" w:hAnsi="仿宋" w:eastAsia="仿宋" w:cs="宋体"/>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37AE448C">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地点：通过“苏采云”系统提交，具体详见《江苏省政府采购管理交易系统（苏采云）</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人操作手册》。</w:t>
      </w:r>
    </w:p>
    <w:p w14:paraId="0994C8B3">
      <w:pPr>
        <w:keepNext w:val="0"/>
        <w:keepLines w:val="0"/>
        <w:pageBreakBefore w:val="0"/>
        <w:kinsoku/>
        <w:wordWrap/>
        <w:overflowPunct/>
        <w:topLinePunct w:val="0"/>
        <w:autoSpaceDE/>
        <w:autoSpaceDN/>
        <w:bidi w:val="0"/>
        <w:spacing w:line="460" w:lineRule="exact"/>
        <w:ind w:firstLine="560"/>
        <w:rPr>
          <w:rFonts w:ascii="仿宋" w:hAnsi="仿宋" w:eastAsia="仿宋"/>
          <w:bCs/>
          <w:sz w:val="28"/>
          <w:szCs w:val="28"/>
          <w:highlight w:val="none"/>
        </w:rPr>
      </w:pPr>
      <w:r>
        <w:rPr>
          <w:rFonts w:hint="eastAsia" w:ascii="仿宋" w:hAnsi="仿宋" w:eastAsia="仿宋"/>
          <w:sz w:val="28"/>
          <w:szCs w:val="28"/>
          <w:highlight w:val="none"/>
        </w:rPr>
        <w:t>开启时间：</w:t>
      </w:r>
      <w:r>
        <w:rPr>
          <w:rFonts w:hint="eastAsia" w:ascii="仿宋" w:hAnsi="仿宋" w:eastAsia="仿宋" w:cs="宋体"/>
          <w:sz w:val="28"/>
          <w:szCs w:val="28"/>
          <w:highlight w:val="none"/>
          <w:lang w:val="en-US" w:eastAsia="zh-CN"/>
        </w:rPr>
        <w:t>2025</w:t>
      </w:r>
      <w:r>
        <w:rPr>
          <w:rFonts w:hint="eastAsia" w:ascii="仿宋" w:hAnsi="仿宋" w:eastAsia="仿宋" w:cs="宋体"/>
          <w:sz w:val="28"/>
          <w:szCs w:val="28"/>
          <w:highlight w:val="none"/>
        </w:rPr>
        <w:t>年</w:t>
      </w:r>
      <w:r>
        <w:rPr>
          <w:rFonts w:hint="eastAsia" w:ascii="仿宋" w:hAnsi="仿宋" w:eastAsia="仿宋" w:cs="宋体"/>
          <w:sz w:val="28"/>
          <w:szCs w:val="28"/>
          <w:highlight w:val="none"/>
          <w:lang w:val="en-US" w:eastAsia="zh-CN"/>
        </w:rPr>
        <w:t>12</w:t>
      </w:r>
      <w:r>
        <w:rPr>
          <w:rFonts w:hint="eastAsia" w:ascii="仿宋" w:hAnsi="仿宋" w:eastAsia="仿宋" w:cs="宋体"/>
          <w:sz w:val="28"/>
          <w:szCs w:val="28"/>
          <w:highlight w:val="none"/>
        </w:rPr>
        <w:t>月</w:t>
      </w:r>
      <w:r>
        <w:rPr>
          <w:rFonts w:hint="eastAsia" w:ascii="仿宋" w:hAnsi="仿宋" w:eastAsia="仿宋" w:cs="宋体"/>
          <w:sz w:val="28"/>
          <w:szCs w:val="28"/>
          <w:highlight w:val="none"/>
          <w:lang w:val="en-US" w:eastAsia="zh-CN"/>
        </w:rPr>
        <w:t>22</w:t>
      </w:r>
      <w:r>
        <w:rPr>
          <w:rFonts w:hint="eastAsia" w:ascii="仿宋" w:hAnsi="仿宋" w:eastAsia="仿宋" w:cs="宋体"/>
          <w:sz w:val="28"/>
          <w:szCs w:val="28"/>
          <w:highlight w:val="none"/>
        </w:rPr>
        <w:t>日</w:t>
      </w:r>
      <w:r>
        <w:rPr>
          <w:rFonts w:hint="eastAsia" w:ascii="仿宋" w:hAnsi="仿宋" w:eastAsia="仿宋" w:cs="宋体"/>
          <w:sz w:val="28"/>
          <w:szCs w:val="28"/>
          <w:highlight w:val="none"/>
          <w:lang w:val="en-US" w:eastAsia="zh-CN"/>
        </w:rPr>
        <w:t>9</w:t>
      </w:r>
      <w:r>
        <w:rPr>
          <w:rFonts w:hint="eastAsia" w:ascii="仿宋" w:hAnsi="仿宋" w:eastAsia="仿宋"/>
          <w:bCs/>
          <w:sz w:val="28"/>
          <w:szCs w:val="28"/>
          <w:highlight w:val="none"/>
        </w:rPr>
        <w:t>点</w:t>
      </w:r>
      <w:r>
        <w:rPr>
          <w:rFonts w:hint="eastAsia" w:ascii="仿宋" w:hAnsi="仿宋" w:eastAsia="仿宋"/>
          <w:bCs/>
          <w:sz w:val="28"/>
          <w:szCs w:val="28"/>
          <w:highlight w:val="none"/>
          <w:lang w:val="en-US" w:eastAsia="zh-CN"/>
        </w:rPr>
        <w:t>00</w:t>
      </w:r>
      <w:r>
        <w:rPr>
          <w:rFonts w:hint="eastAsia" w:ascii="仿宋" w:hAnsi="仿宋" w:eastAsia="仿宋"/>
          <w:bCs/>
          <w:sz w:val="28"/>
          <w:szCs w:val="28"/>
          <w:highlight w:val="none"/>
        </w:rPr>
        <w:t>分（北京时间）</w:t>
      </w:r>
    </w:p>
    <w:p w14:paraId="56119072">
      <w:pPr>
        <w:pStyle w:val="11"/>
        <w:keepNext w:val="0"/>
        <w:keepLines w:val="0"/>
        <w:pageBreakBefore w:val="0"/>
        <w:kinsoku/>
        <w:wordWrap/>
        <w:overflowPunct/>
        <w:topLinePunct w:val="0"/>
        <w:autoSpaceDE/>
        <w:autoSpaceDN/>
        <w:bidi w:val="0"/>
        <w:spacing w:after="0" w:line="46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开启地点：</w:t>
      </w:r>
      <w:r>
        <w:rPr>
          <w:rFonts w:ascii="仿宋" w:hAnsi="仿宋" w:eastAsia="仿宋"/>
          <w:sz w:val="28"/>
          <w:szCs w:val="28"/>
          <w:highlight w:val="none"/>
        </w:rPr>
        <w:t>“苏采云”系统（网址：http://jszfcg.jsczt.cn/）“开标大厅”。</w:t>
      </w:r>
    </w:p>
    <w:p w14:paraId="461A5BB7">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17" w:name="_Toc28359094"/>
      <w:bookmarkStart w:id="18" w:name="_Toc35393803"/>
      <w:bookmarkStart w:id="19" w:name="_Toc35393634"/>
      <w:bookmarkStart w:id="20" w:name="_Toc28359017"/>
      <w:r>
        <w:rPr>
          <w:rFonts w:hint="eastAsia" w:ascii="黑体" w:hAnsi="黑体" w:eastAsia="黑体"/>
          <w:sz w:val="28"/>
          <w:szCs w:val="28"/>
          <w:highlight w:val="none"/>
        </w:rPr>
        <w:t>五、公告期限</w:t>
      </w:r>
      <w:bookmarkEnd w:id="17"/>
      <w:bookmarkEnd w:id="18"/>
      <w:bookmarkEnd w:id="19"/>
      <w:bookmarkEnd w:id="20"/>
    </w:p>
    <w:p w14:paraId="79E8572F">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cs="宋体"/>
          <w:kern w:val="0"/>
          <w:sz w:val="28"/>
          <w:szCs w:val="28"/>
          <w:highlight w:val="none"/>
        </w:rPr>
      </w:pPr>
      <w:r>
        <w:rPr>
          <w:rFonts w:hint="eastAsia" w:ascii="仿宋" w:hAnsi="仿宋" w:eastAsia="仿宋" w:cs="宋体"/>
          <w:kern w:val="0"/>
          <w:sz w:val="28"/>
          <w:szCs w:val="28"/>
          <w:highlight w:val="none"/>
        </w:rPr>
        <w:t>自本公告发布之日起3个工作日。</w:t>
      </w:r>
    </w:p>
    <w:p w14:paraId="341AE83D">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21" w:name="_Toc35393635"/>
      <w:bookmarkStart w:id="22" w:name="_Toc35393804"/>
      <w:r>
        <w:rPr>
          <w:rFonts w:hint="eastAsia" w:ascii="黑体" w:hAnsi="黑体" w:eastAsia="黑体"/>
          <w:sz w:val="28"/>
          <w:szCs w:val="28"/>
          <w:highlight w:val="none"/>
        </w:rPr>
        <w:t>六、其他补充事宜</w:t>
      </w:r>
      <w:bookmarkEnd w:id="21"/>
      <w:bookmarkEnd w:id="22"/>
    </w:p>
    <w:p w14:paraId="55370FFC">
      <w:pPr>
        <w:keepNext w:val="0"/>
        <w:keepLines w:val="0"/>
        <w:pageBreakBefore w:val="0"/>
        <w:kinsoku/>
        <w:wordWrap/>
        <w:overflowPunct/>
        <w:topLinePunct w:val="0"/>
        <w:autoSpaceDE/>
        <w:autoSpaceDN/>
        <w:bidi w:val="0"/>
        <w:spacing w:line="460" w:lineRule="exact"/>
        <w:ind w:firstLine="565" w:firstLineChars="202"/>
        <w:rPr>
          <w:rFonts w:ascii="仿宋" w:hAnsi="仿宋" w:eastAsia="仿宋" w:cs="宋体"/>
          <w:bCs/>
          <w:sz w:val="28"/>
          <w:szCs w:val="28"/>
          <w:highlight w:val="none"/>
        </w:rPr>
      </w:pPr>
      <w:r>
        <w:rPr>
          <w:rFonts w:hint="eastAsia" w:ascii="仿宋" w:hAnsi="仿宋" w:eastAsia="仿宋" w:cs="宋体"/>
          <w:sz w:val="28"/>
          <w:szCs w:val="28"/>
          <w:highlight w:val="none"/>
        </w:rPr>
        <w:t>1.</w:t>
      </w:r>
      <w:r>
        <w:rPr>
          <w:rFonts w:hint="eastAsia" w:ascii="仿宋" w:hAnsi="仿宋" w:eastAsia="仿宋" w:cs="宋体"/>
          <w:bCs/>
          <w:sz w:val="28"/>
          <w:szCs w:val="28"/>
          <w:highlight w:val="none"/>
        </w:rPr>
        <w:t>本项目采用电子化交易模式，</w:t>
      </w:r>
      <w:r>
        <w:rPr>
          <w:rFonts w:hint="eastAsia" w:ascii="仿宋" w:hAnsi="仿宋" w:eastAsia="仿宋"/>
          <w:sz w:val="28"/>
          <w:szCs w:val="28"/>
          <w:highlight w:val="none"/>
        </w:rPr>
        <w:t>具体详见《江苏省政府采购管理交易系统（苏采云）</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人操作手册》，特别</w:t>
      </w:r>
      <w:r>
        <w:rPr>
          <w:rFonts w:hint="eastAsia" w:ascii="仿宋" w:hAnsi="仿宋" w:eastAsia="仿宋" w:cs="宋体"/>
          <w:bCs/>
          <w:sz w:val="28"/>
          <w:szCs w:val="28"/>
          <w:highlight w:val="none"/>
        </w:rPr>
        <w:t>注意以下事项：</w:t>
      </w:r>
    </w:p>
    <w:p w14:paraId="294D1967">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cs="宋体"/>
          <w:bCs/>
          <w:sz w:val="28"/>
          <w:szCs w:val="28"/>
          <w:highlight w:val="none"/>
        </w:rPr>
      </w:pPr>
      <w:r>
        <w:rPr>
          <w:rFonts w:hint="eastAsia" w:ascii="仿宋" w:hAnsi="仿宋" w:eastAsia="仿宋" w:cs="宋体"/>
          <w:bCs/>
          <w:sz w:val="28"/>
          <w:szCs w:val="28"/>
          <w:highlight w:val="none"/>
        </w:rPr>
        <w:t>（1）“苏采云”系统的网址为：http://jszfcg.jsczt.cn/；</w:t>
      </w:r>
    </w:p>
    <w:p w14:paraId="06D8E93C">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cs="仿宋"/>
          <w:sz w:val="28"/>
          <w:szCs w:val="28"/>
          <w:highlight w:val="none"/>
        </w:rPr>
      </w:pPr>
      <w:r>
        <w:rPr>
          <w:rFonts w:hint="eastAsia" w:ascii="仿宋" w:hAnsi="仿宋" w:eastAsia="仿宋" w:cs="宋体"/>
          <w:bCs/>
          <w:sz w:val="28"/>
          <w:szCs w:val="28"/>
          <w:highlight w:val="none"/>
        </w:rPr>
        <w:t>（2）响应供应商需办理“CA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23"/>
          <w:rFonts w:ascii="仿宋" w:hAnsi="仿宋" w:eastAsia="仿宋" w:cs="宋体"/>
          <w:bCs/>
          <w:sz w:val="28"/>
          <w:szCs w:val="28"/>
          <w:highlight w:val="none"/>
        </w:rPr>
        <w:t>http://jsxcmm.com/help/gys.html</w:t>
      </w:r>
      <w:r>
        <w:rPr>
          <w:rStyle w:val="23"/>
          <w:rFonts w:ascii="仿宋" w:hAnsi="仿宋" w:eastAsia="仿宋" w:cs="宋体"/>
          <w:bCs/>
          <w:sz w:val="28"/>
          <w:szCs w:val="28"/>
          <w:highlight w:val="none"/>
        </w:rPr>
        <w:fldChar w:fldCharType="end"/>
      </w:r>
      <w:r>
        <w:rPr>
          <w:rFonts w:ascii="仿宋" w:hAnsi="仿宋" w:eastAsia="仿宋" w:cs="宋体"/>
          <w:bCs/>
          <w:sz w:val="28"/>
          <w:szCs w:val="28"/>
          <w:highlight w:val="none"/>
        </w:rPr>
        <w:t>）</w:t>
      </w:r>
      <w:r>
        <w:rPr>
          <w:rFonts w:hint="eastAsia" w:ascii="仿宋" w:hAnsi="仿宋" w:eastAsia="仿宋" w:cs="宋体"/>
          <w:bCs/>
          <w:sz w:val="28"/>
          <w:szCs w:val="28"/>
          <w:highlight w:val="none"/>
        </w:rPr>
        <w:t>。</w:t>
      </w:r>
    </w:p>
    <w:p w14:paraId="614CEA97">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r>
        <w:rPr>
          <w:rFonts w:hint="eastAsia" w:ascii="仿宋" w:hAnsi="仿宋" w:eastAsia="仿宋" w:cs="仿宋"/>
          <w:sz w:val="28"/>
          <w:szCs w:val="28"/>
          <w:highlight w:val="none"/>
        </w:rPr>
        <w:t>（3）</w:t>
      </w:r>
      <w:r>
        <w:rPr>
          <w:rFonts w:ascii="仿宋" w:hAnsi="仿宋" w:eastAsia="仿宋"/>
          <w:sz w:val="28"/>
          <w:szCs w:val="28"/>
          <w:highlight w:val="none"/>
        </w:rPr>
        <w:t>使用谷歌浏览器。</w:t>
      </w:r>
    </w:p>
    <w:p w14:paraId="704A3F68">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提前准备好麦克风、音响，摄像头，</w:t>
      </w:r>
      <w:r>
        <w:rPr>
          <w:rFonts w:hint="eastAsia" w:ascii="仿宋" w:hAnsi="仿宋" w:eastAsia="仿宋"/>
          <w:sz w:val="28"/>
          <w:szCs w:val="28"/>
          <w:highlight w:val="none"/>
        </w:rPr>
        <w:t>并</w:t>
      </w:r>
      <w:r>
        <w:rPr>
          <w:rFonts w:ascii="仿宋" w:hAnsi="仿宋" w:eastAsia="仿宋"/>
          <w:sz w:val="28"/>
          <w:szCs w:val="28"/>
          <w:highlight w:val="none"/>
        </w:rPr>
        <w:t>检查保证能够正常使用。</w:t>
      </w:r>
    </w:p>
    <w:p w14:paraId="027FBFE8">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cs="宋体"/>
          <w:bCs/>
          <w:sz w:val="28"/>
          <w:szCs w:val="28"/>
          <w:highlight w:val="none"/>
        </w:rPr>
      </w:pPr>
      <w:r>
        <w:rPr>
          <w:rFonts w:hint="eastAsia" w:ascii="仿宋" w:hAnsi="仿宋" w:eastAsia="仿宋"/>
          <w:sz w:val="28"/>
          <w:szCs w:val="28"/>
          <w:highlight w:val="none"/>
        </w:rPr>
        <w:t>（5）</w:t>
      </w:r>
      <w:r>
        <w:rPr>
          <w:rFonts w:ascii="仿宋" w:hAnsi="仿宋" w:eastAsia="仿宋"/>
          <w:sz w:val="28"/>
          <w:szCs w:val="28"/>
          <w:highlight w:val="none"/>
        </w:rPr>
        <w:t>操作系统至少win7以上，建议使用win10操作系统。</w:t>
      </w:r>
    </w:p>
    <w:p w14:paraId="20F67F55">
      <w:pPr>
        <w:keepNext w:val="0"/>
        <w:keepLines w:val="0"/>
        <w:pageBreakBefore w:val="0"/>
        <w:kinsoku/>
        <w:wordWrap/>
        <w:overflowPunct/>
        <w:topLinePunct w:val="0"/>
        <w:autoSpaceDE/>
        <w:autoSpaceDN/>
        <w:bidi w:val="0"/>
        <w:spacing w:line="460" w:lineRule="exact"/>
        <w:ind w:firstLine="560" w:firstLineChars="200"/>
        <w:rPr>
          <w:rFonts w:ascii="仿宋" w:hAnsi="仿宋" w:eastAsia="仿宋"/>
          <w:b/>
          <w:color w:val="FF0000"/>
          <w:sz w:val="28"/>
          <w:szCs w:val="28"/>
          <w:highlight w:val="none"/>
        </w:rPr>
      </w:pPr>
      <w:r>
        <w:rPr>
          <w:rFonts w:hint="eastAsia" w:ascii="仿宋" w:hAnsi="仿宋" w:eastAsia="仿宋" w:cs="宋体"/>
          <w:bCs/>
          <w:sz w:val="28"/>
          <w:szCs w:val="28"/>
          <w:highlight w:val="none"/>
        </w:rPr>
        <w:t>（6）供应商应当通过“苏采云”系统提交电子响应文件，响应文件不得超过150M。</w:t>
      </w:r>
    </w:p>
    <w:p w14:paraId="66862FF7">
      <w:pPr>
        <w:keepNext w:val="0"/>
        <w:keepLines w:val="0"/>
        <w:pageBreakBefore w:val="0"/>
        <w:kinsoku/>
        <w:wordWrap/>
        <w:overflowPunct/>
        <w:topLinePunct w:val="0"/>
        <w:autoSpaceDE/>
        <w:autoSpaceDN/>
        <w:bidi w:val="0"/>
        <w:spacing w:line="460" w:lineRule="exact"/>
        <w:ind w:firstLine="565" w:firstLineChars="202"/>
        <w:rPr>
          <w:rFonts w:ascii="仿宋" w:hAnsi="仿宋" w:eastAsia="仿宋"/>
          <w:b/>
          <w:sz w:val="28"/>
          <w:szCs w:val="28"/>
          <w:highlight w:val="none"/>
        </w:rPr>
      </w:pPr>
      <w:r>
        <w:rPr>
          <w:rFonts w:hint="eastAsia" w:ascii="仿宋" w:hAnsi="仿宋" w:eastAsia="仿宋" w:cs="宋体"/>
          <w:sz w:val="28"/>
          <w:szCs w:val="28"/>
          <w:highlight w:val="none"/>
        </w:rPr>
        <w:t>2. 谈判</w:t>
      </w:r>
      <w:r>
        <w:rPr>
          <w:rFonts w:ascii="仿宋" w:hAnsi="仿宋" w:eastAsia="仿宋" w:cs="宋体"/>
          <w:sz w:val="28"/>
          <w:szCs w:val="28"/>
          <w:highlight w:val="none"/>
        </w:rPr>
        <w:t>保证金</w:t>
      </w:r>
      <w:r>
        <w:rPr>
          <w:rFonts w:hint="eastAsia" w:ascii="仿宋" w:hAnsi="仿宋" w:eastAsia="仿宋" w:cs="宋体"/>
          <w:sz w:val="28"/>
          <w:szCs w:val="28"/>
          <w:highlight w:val="none"/>
        </w:rPr>
        <w:t>及履约保证金</w:t>
      </w:r>
      <w:r>
        <w:rPr>
          <w:rFonts w:ascii="仿宋" w:hAnsi="仿宋" w:eastAsia="仿宋" w:cs="宋体"/>
          <w:sz w:val="28"/>
          <w:szCs w:val="28"/>
          <w:highlight w:val="none"/>
        </w:rPr>
        <w:t>：免收</w:t>
      </w:r>
    </w:p>
    <w:p w14:paraId="01219FAB">
      <w:pPr>
        <w:pStyle w:val="11"/>
        <w:keepNext w:val="0"/>
        <w:keepLines w:val="0"/>
        <w:pageBreakBefore w:val="0"/>
        <w:kinsoku/>
        <w:wordWrap/>
        <w:overflowPunct/>
        <w:topLinePunct w:val="0"/>
        <w:autoSpaceDE/>
        <w:autoSpaceDN/>
        <w:bidi w:val="0"/>
        <w:spacing w:after="0" w:line="460" w:lineRule="exact"/>
        <w:ind w:firstLine="560" w:firstLineChars="200"/>
        <w:rPr>
          <w:rFonts w:ascii="黑体" w:hAnsi="黑体" w:eastAsia="黑体"/>
          <w:sz w:val="28"/>
          <w:szCs w:val="28"/>
          <w:highlight w:val="none"/>
        </w:rPr>
      </w:pPr>
      <w:bookmarkStart w:id="23" w:name="_Toc28359095"/>
      <w:bookmarkStart w:id="24" w:name="_Toc35393805"/>
      <w:bookmarkStart w:id="25" w:name="_Toc35393636"/>
      <w:bookmarkStart w:id="26" w:name="_Toc28359018"/>
      <w:r>
        <w:rPr>
          <w:rFonts w:hint="eastAsia" w:ascii="黑体" w:hAnsi="黑体" w:eastAsia="黑体"/>
          <w:sz w:val="28"/>
          <w:szCs w:val="28"/>
          <w:highlight w:val="none"/>
        </w:rPr>
        <w:t>七、凡对本次采购提出询问，请按</w:t>
      </w:r>
      <w:r>
        <w:rPr>
          <w:rFonts w:ascii="黑体" w:hAnsi="黑体" w:eastAsia="黑体"/>
          <w:sz w:val="28"/>
          <w:szCs w:val="28"/>
          <w:highlight w:val="none"/>
        </w:rPr>
        <w:t>以下方式</w:t>
      </w:r>
      <w:r>
        <w:rPr>
          <w:rFonts w:hint="eastAsia" w:ascii="黑体" w:hAnsi="黑体" w:eastAsia="黑体"/>
          <w:sz w:val="28"/>
          <w:szCs w:val="28"/>
          <w:highlight w:val="none"/>
        </w:rPr>
        <w:t>联系。</w:t>
      </w:r>
      <w:bookmarkEnd w:id="23"/>
      <w:bookmarkEnd w:id="24"/>
      <w:bookmarkEnd w:id="25"/>
      <w:bookmarkEnd w:id="26"/>
    </w:p>
    <w:p w14:paraId="20CF1840">
      <w:pPr>
        <w:keepNext w:val="0"/>
        <w:keepLines w:val="0"/>
        <w:pageBreakBefore w:val="0"/>
        <w:kinsoku/>
        <w:wordWrap/>
        <w:overflowPunct/>
        <w:topLinePunct w:val="0"/>
        <w:autoSpaceDE/>
        <w:autoSpaceDN/>
        <w:bidi w:val="0"/>
        <w:adjustRightInd/>
        <w:snapToGrid/>
        <w:spacing w:line="460" w:lineRule="exact"/>
        <w:ind w:firstLine="540"/>
        <w:textAlignment w:val="auto"/>
        <w:rPr>
          <w:rFonts w:ascii="仿宋" w:hAnsi="仿宋" w:eastAsia="仿宋" w:cs="宋体"/>
          <w:sz w:val="28"/>
          <w:szCs w:val="28"/>
          <w:highlight w:val="none"/>
        </w:rPr>
      </w:pPr>
      <w:bookmarkStart w:id="27" w:name="_Toc35393806"/>
      <w:bookmarkStart w:id="28" w:name="_Toc28359019"/>
      <w:bookmarkStart w:id="29" w:name="_Toc35393637"/>
      <w:bookmarkStart w:id="30" w:name="_Toc28359096"/>
      <w:r>
        <w:rPr>
          <w:rFonts w:hint="eastAsia" w:ascii="仿宋" w:hAnsi="仿宋" w:eastAsia="仿宋" w:cs="宋体"/>
          <w:sz w:val="28"/>
          <w:szCs w:val="28"/>
          <w:highlight w:val="none"/>
        </w:rPr>
        <w:t>1. 采购人信息</w:t>
      </w:r>
      <w:bookmarkEnd w:id="27"/>
      <w:bookmarkEnd w:id="28"/>
      <w:bookmarkEnd w:id="29"/>
      <w:bookmarkEnd w:id="30"/>
    </w:p>
    <w:p w14:paraId="6DD9A53D">
      <w:pPr>
        <w:keepNext w:val="0"/>
        <w:keepLines w:val="0"/>
        <w:pageBreakBefore w:val="0"/>
        <w:kinsoku/>
        <w:wordWrap/>
        <w:overflowPunct/>
        <w:topLinePunct w:val="0"/>
        <w:autoSpaceDE/>
        <w:autoSpaceDN/>
        <w:bidi w:val="0"/>
        <w:adjustRightInd/>
        <w:snapToGrid/>
        <w:spacing w:line="460" w:lineRule="exact"/>
        <w:ind w:left="1129" w:leftChars="371" w:hanging="350" w:hangingChars="125"/>
        <w:jc w:val="left"/>
        <w:textAlignment w:val="auto"/>
        <w:rPr>
          <w:rFonts w:hint="eastAsia" w:ascii="仿宋" w:hAnsi="仿宋" w:eastAsia="仿宋"/>
          <w:sz w:val="28"/>
          <w:szCs w:val="28"/>
          <w:highlight w:val="none"/>
          <w:u w:val="none"/>
          <w:lang w:eastAsia="zh-CN"/>
        </w:rPr>
      </w:pPr>
      <w:r>
        <w:rPr>
          <w:rFonts w:hint="eastAsia" w:ascii="仿宋" w:hAnsi="仿宋" w:eastAsia="仿宋"/>
          <w:sz w:val="28"/>
          <w:szCs w:val="28"/>
          <w:highlight w:val="none"/>
          <w:u w:val="none"/>
        </w:rPr>
        <w:t>名    称：</w:t>
      </w:r>
      <w:r>
        <w:rPr>
          <w:rFonts w:hint="eastAsia" w:ascii="仿宋" w:hAnsi="仿宋" w:eastAsia="仿宋"/>
          <w:sz w:val="28"/>
          <w:szCs w:val="28"/>
          <w:highlight w:val="none"/>
          <w:u w:val="none"/>
          <w:lang w:eastAsia="zh-CN"/>
        </w:rPr>
        <w:t>如皋市高级技工学校</w:t>
      </w:r>
    </w:p>
    <w:p w14:paraId="79240BB3">
      <w:pPr>
        <w:keepNext w:val="0"/>
        <w:keepLines w:val="0"/>
        <w:pageBreakBefore w:val="0"/>
        <w:kinsoku/>
        <w:wordWrap/>
        <w:overflowPunct/>
        <w:topLinePunct w:val="0"/>
        <w:autoSpaceDE/>
        <w:autoSpaceDN/>
        <w:bidi w:val="0"/>
        <w:adjustRightInd/>
        <w:snapToGrid/>
        <w:spacing w:line="460" w:lineRule="exact"/>
        <w:ind w:left="1129" w:leftChars="371" w:hanging="350" w:hangingChars="125"/>
        <w:jc w:val="left"/>
        <w:textAlignment w:val="auto"/>
        <w:rPr>
          <w:rFonts w:hint="default" w:ascii="仿宋" w:hAnsi="仿宋" w:eastAsia="仿宋"/>
          <w:sz w:val="28"/>
          <w:szCs w:val="28"/>
          <w:highlight w:val="none"/>
          <w:u w:val="none"/>
          <w:lang w:val="en-US" w:eastAsia="zh-CN"/>
        </w:rPr>
      </w:pPr>
      <w:r>
        <w:rPr>
          <w:rFonts w:hint="eastAsia" w:ascii="仿宋" w:hAnsi="仿宋" w:eastAsia="仿宋"/>
          <w:sz w:val="28"/>
          <w:szCs w:val="28"/>
          <w:highlight w:val="none"/>
          <w:u w:val="none"/>
        </w:rPr>
        <w:t>地    址：</w:t>
      </w:r>
      <w:r>
        <w:rPr>
          <w:rFonts w:hint="eastAsia" w:ascii="仿宋" w:hAnsi="仿宋" w:eastAsia="仿宋"/>
          <w:sz w:val="28"/>
          <w:szCs w:val="28"/>
          <w:highlight w:val="none"/>
          <w:u w:val="none"/>
          <w:lang w:eastAsia="zh-CN"/>
        </w:rPr>
        <w:t>如皋市</w:t>
      </w:r>
      <w:r>
        <w:rPr>
          <w:rFonts w:hint="eastAsia" w:ascii="仿宋" w:hAnsi="仿宋" w:eastAsia="仿宋"/>
          <w:sz w:val="28"/>
          <w:szCs w:val="28"/>
          <w:highlight w:val="none"/>
          <w:u w:val="none"/>
          <w:lang w:val="en-US" w:eastAsia="zh-CN"/>
        </w:rPr>
        <w:t>长江镇教育路1号</w:t>
      </w:r>
    </w:p>
    <w:p w14:paraId="4E3B56E1">
      <w:pPr>
        <w:keepNext w:val="0"/>
        <w:keepLines w:val="0"/>
        <w:pageBreakBefore w:val="0"/>
        <w:kinsoku/>
        <w:wordWrap/>
        <w:overflowPunct/>
        <w:topLinePunct w:val="0"/>
        <w:autoSpaceDE/>
        <w:autoSpaceDN/>
        <w:bidi w:val="0"/>
        <w:adjustRightInd/>
        <w:snapToGrid/>
        <w:spacing w:line="460" w:lineRule="exact"/>
        <w:ind w:left="1129" w:leftChars="371" w:hanging="350" w:hangingChars="125"/>
        <w:jc w:val="left"/>
        <w:textAlignment w:val="auto"/>
        <w:rPr>
          <w:rFonts w:hint="default" w:ascii="仿宋" w:hAnsi="仿宋" w:eastAsia="仿宋"/>
          <w:sz w:val="28"/>
          <w:szCs w:val="28"/>
          <w:highlight w:val="none"/>
          <w:u w:val="none"/>
          <w:lang w:val="en-US" w:eastAsia="zh-CN"/>
        </w:rPr>
      </w:pPr>
      <w:r>
        <w:rPr>
          <w:rFonts w:hint="eastAsia" w:ascii="仿宋" w:hAnsi="仿宋" w:eastAsia="仿宋"/>
          <w:sz w:val="28"/>
          <w:szCs w:val="28"/>
          <w:highlight w:val="none"/>
          <w:u w:val="none"/>
        </w:rPr>
        <w:t>项目经办人姓名：</w:t>
      </w:r>
      <w:r>
        <w:rPr>
          <w:rFonts w:hint="eastAsia" w:ascii="仿宋" w:hAnsi="仿宋" w:eastAsia="仿宋"/>
          <w:sz w:val="28"/>
          <w:szCs w:val="28"/>
          <w:highlight w:val="none"/>
          <w:u w:val="none"/>
          <w:lang w:val="en-US" w:eastAsia="zh-CN"/>
        </w:rPr>
        <w:t>郭主任</w:t>
      </w:r>
    </w:p>
    <w:p w14:paraId="033ACE82">
      <w:pPr>
        <w:keepNext w:val="0"/>
        <w:keepLines w:val="0"/>
        <w:pageBreakBefore w:val="0"/>
        <w:kinsoku/>
        <w:wordWrap/>
        <w:overflowPunct/>
        <w:topLinePunct w:val="0"/>
        <w:autoSpaceDE/>
        <w:autoSpaceDN/>
        <w:bidi w:val="0"/>
        <w:adjustRightInd/>
        <w:snapToGrid/>
        <w:spacing w:line="460" w:lineRule="exact"/>
        <w:ind w:firstLine="840" w:firstLineChars="300"/>
        <w:textAlignment w:val="auto"/>
        <w:rPr>
          <w:rFonts w:hint="default" w:ascii="仿宋" w:hAnsi="仿宋" w:eastAsia="仿宋"/>
          <w:sz w:val="28"/>
          <w:szCs w:val="28"/>
          <w:highlight w:val="none"/>
          <w:u w:val="none"/>
          <w:lang w:val="en-US" w:eastAsia="zh-CN"/>
        </w:rPr>
      </w:pPr>
      <w:r>
        <w:rPr>
          <w:rFonts w:hint="eastAsia" w:ascii="仿宋" w:hAnsi="仿宋" w:eastAsia="仿宋"/>
          <w:sz w:val="28"/>
          <w:szCs w:val="28"/>
          <w:highlight w:val="none"/>
          <w:u w:val="none"/>
        </w:rPr>
        <w:t>项目经办人联系方式：</w:t>
      </w:r>
      <w:r>
        <w:rPr>
          <w:rFonts w:hint="eastAsia" w:ascii="仿宋" w:hAnsi="仿宋" w:eastAsia="仿宋"/>
          <w:sz w:val="28"/>
          <w:szCs w:val="28"/>
          <w:highlight w:val="none"/>
          <w:u w:val="none"/>
          <w:lang w:val="en-US" w:eastAsia="zh-CN"/>
        </w:rPr>
        <w:t>15250640318</w:t>
      </w:r>
    </w:p>
    <w:p w14:paraId="46239436">
      <w:pPr>
        <w:keepNext w:val="0"/>
        <w:keepLines w:val="0"/>
        <w:pageBreakBefore w:val="0"/>
        <w:kinsoku/>
        <w:wordWrap/>
        <w:overflowPunct/>
        <w:topLinePunct w:val="0"/>
        <w:autoSpaceDE/>
        <w:autoSpaceDN/>
        <w:bidi w:val="0"/>
        <w:adjustRightInd/>
        <w:snapToGrid/>
        <w:spacing w:line="460" w:lineRule="exact"/>
        <w:ind w:firstLine="540"/>
        <w:textAlignment w:val="auto"/>
        <w:rPr>
          <w:rFonts w:ascii="仿宋" w:hAnsi="仿宋" w:eastAsia="仿宋" w:cs="宋体"/>
          <w:sz w:val="28"/>
          <w:szCs w:val="28"/>
          <w:highlight w:val="none"/>
          <w:u w:val="none"/>
        </w:rPr>
      </w:pPr>
      <w:bookmarkStart w:id="31" w:name="_Toc28359020"/>
      <w:bookmarkStart w:id="32" w:name="_Toc35393638"/>
      <w:bookmarkStart w:id="33" w:name="_Toc35393807"/>
      <w:bookmarkStart w:id="34" w:name="_Toc28359097"/>
      <w:r>
        <w:rPr>
          <w:rFonts w:hint="eastAsia" w:ascii="仿宋" w:hAnsi="仿宋" w:eastAsia="仿宋" w:cs="宋体"/>
          <w:sz w:val="28"/>
          <w:szCs w:val="28"/>
          <w:highlight w:val="none"/>
          <w:u w:val="none"/>
        </w:rPr>
        <w:t>2.</w:t>
      </w:r>
      <w:bookmarkEnd w:id="31"/>
      <w:bookmarkEnd w:id="32"/>
      <w:bookmarkEnd w:id="33"/>
      <w:bookmarkEnd w:id="34"/>
      <w:r>
        <w:rPr>
          <w:rFonts w:hint="eastAsia" w:ascii="仿宋" w:hAnsi="仿宋" w:eastAsia="仿宋" w:cs="宋体"/>
          <w:sz w:val="28"/>
          <w:szCs w:val="28"/>
          <w:highlight w:val="none"/>
          <w:u w:val="none"/>
        </w:rPr>
        <w:t>采购代理机构信息</w:t>
      </w:r>
    </w:p>
    <w:p w14:paraId="626BEF7B">
      <w:pPr>
        <w:keepNext w:val="0"/>
        <w:keepLines w:val="0"/>
        <w:pageBreakBefore w:val="0"/>
        <w:kinsoku/>
        <w:wordWrap/>
        <w:overflowPunct/>
        <w:topLinePunct w:val="0"/>
        <w:autoSpaceDE/>
        <w:autoSpaceDN/>
        <w:bidi w:val="0"/>
        <w:adjustRightInd/>
        <w:snapToGrid/>
        <w:spacing w:line="460" w:lineRule="exact"/>
        <w:ind w:firstLine="840" w:firstLineChars="300"/>
        <w:textAlignment w:val="auto"/>
        <w:rPr>
          <w:rFonts w:hint="eastAsia" w:ascii="仿宋" w:hAnsi="仿宋" w:eastAsia="仿宋"/>
          <w:sz w:val="28"/>
          <w:szCs w:val="28"/>
          <w:highlight w:val="none"/>
          <w:u w:val="none"/>
        </w:rPr>
      </w:pPr>
      <w:r>
        <w:rPr>
          <w:rFonts w:hint="eastAsia" w:ascii="仿宋" w:hAnsi="仿宋" w:eastAsia="仿宋"/>
          <w:sz w:val="28"/>
          <w:szCs w:val="28"/>
          <w:highlight w:val="none"/>
          <w:u w:val="none"/>
        </w:rPr>
        <w:t>名    称：江苏建威建设管理有限公司</w:t>
      </w:r>
    </w:p>
    <w:p w14:paraId="6E87CB2B">
      <w:pPr>
        <w:keepNext w:val="0"/>
        <w:keepLines w:val="0"/>
        <w:pageBreakBefore w:val="0"/>
        <w:kinsoku/>
        <w:wordWrap/>
        <w:overflowPunct/>
        <w:topLinePunct w:val="0"/>
        <w:autoSpaceDE/>
        <w:autoSpaceDN/>
        <w:bidi w:val="0"/>
        <w:adjustRightInd/>
        <w:snapToGrid/>
        <w:spacing w:line="460" w:lineRule="exact"/>
        <w:ind w:left="559" w:leftChars="266" w:firstLine="280" w:firstLineChars="100"/>
        <w:textAlignment w:val="auto"/>
        <w:rPr>
          <w:rFonts w:ascii="仿宋" w:hAnsi="仿宋" w:eastAsia="仿宋"/>
          <w:sz w:val="28"/>
          <w:szCs w:val="28"/>
          <w:highlight w:val="none"/>
          <w:u w:val="none"/>
        </w:rPr>
      </w:pPr>
      <w:r>
        <w:rPr>
          <w:rFonts w:hint="eastAsia" w:ascii="仿宋" w:hAnsi="仿宋" w:eastAsia="仿宋"/>
          <w:sz w:val="28"/>
          <w:szCs w:val="28"/>
          <w:highlight w:val="none"/>
          <w:u w:val="none"/>
        </w:rPr>
        <w:t>地　　址：</w:t>
      </w:r>
      <w:r>
        <w:rPr>
          <w:rFonts w:hint="eastAsia" w:ascii="仿宋" w:hAnsi="仿宋" w:eastAsia="仿宋" w:cs="Times New Roman"/>
          <w:sz w:val="28"/>
          <w:szCs w:val="28"/>
          <w:highlight w:val="none"/>
          <w:u w:val="none"/>
        </w:rPr>
        <w:t>如皋市如城街道益寿南路186号御墅园1幢商务区1号</w:t>
      </w:r>
    </w:p>
    <w:p w14:paraId="44BC0002">
      <w:pPr>
        <w:keepNext w:val="0"/>
        <w:keepLines w:val="0"/>
        <w:pageBreakBefore w:val="0"/>
        <w:kinsoku/>
        <w:wordWrap/>
        <w:overflowPunct/>
        <w:topLinePunct w:val="0"/>
        <w:autoSpaceDE/>
        <w:autoSpaceDN/>
        <w:bidi w:val="0"/>
        <w:adjustRightInd/>
        <w:snapToGrid/>
        <w:spacing w:line="460" w:lineRule="exact"/>
        <w:ind w:firstLine="840" w:firstLineChars="300"/>
        <w:textAlignment w:val="auto"/>
        <w:rPr>
          <w:rFonts w:ascii="仿宋" w:hAnsi="仿宋" w:eastAsia="仿宋"/>
          <w:sz w:val="28"/>
          <w:szCs w:val="28"/>
          <w:highlight w:val="none"/>
          <w:u w:val="none"/>
        </w:rPr>
      </w:pPr>
      <w:r>
        <w:rPr>
          <w:rFonts w:hint="eastAsia" w:ascii="仿宋" w:hAnsi="仿宋" w:eastAsia="仿宋"/>
          <w:sz w:val="28"/>
          <w:szCs w:val="28"/>
          <w:highlight w:val="none"/>
          <w:u w:val="none"/>
        </w:rPr>
        <w:t>联系方式：谢楠楠 15962935048</w:t>
      </w:r>
    </w:p>
    <w:p w14:paraId="6DF2476A">
      <w:pPr>
        <w:keepNext w:val="0"/>
        <w:keepLines w:val="0"/>
        <w:pageBreakBefore w:val="0"/>
        <w:kinsoku/>
        <w:wordWrap/>
        <w:overflowPunct/>
        <w:topLinePunct w:val="0"/>
        <w:autoSpaceDE/>
        <w:autoSpaceDN/>
        <w:bidi w:val="0"/>
        <w:spacing w:line="460" w:lineRule="exact"/>
        <w:ind w:firstLine="560" w:firstLineChars="200"/>
        <w:rPr>
          <w:rFonts w:hint="default" w:ascii="仿宋" w:hAnsi="仿宋" w:eastAsia="仿宋" w:cs="宋体"/>
          <w:bCs/>
          <w:sz w:val="28"/>
          <w:szCs w:val="28"/>
          <w:highlight w:val="none"/>
        </w:rPr>
      </w:pPr>
      <w:r>
        <w:rPr>
          <w:rFonts w:hint="eastAsia" w:ascii="仿宋" w:hAnsi="仿宋" w:eastAsia="仿宋" w:cs="宋体"/>
          <w:bCs/>
          <w:sz w:val="28"/>
          <w:szCs w:val="28"/>
          <w:highlight w:val="none"/>
          <w:lang w:val="en-US" w:eastAsia="zh-CN"/>
        </w:rPr>
        <w:t>3</w:t>
      </w:r>
      <w:r>
        <w:rPr>
          <w:rFonts w:hint="eastAsia" w:ascii="仿宋" w:hAnsi="仿宋" w:eastAsia="仿宋" w:cs="宋体"/>
          <w:bCs/>
          <w:sz w:val="28"/>
          <w:szCs w:val="28"/>
          <w:highlight w:val="none"/>
        </w:rPr>
        <w:t>.软件技术支持人员：0519-86722801、0519-86722806</w:t>
      </w:r>
    </w:p>
    <w:p w14:paraId="1ECC1B76">
      <w:pPr>
        <w:keepNext w:val="0"/>
        <w:keepLines w:val="0"/>
        <w:pageBreakBefore w:val="0"/>
        <w:kinsoku/>
        <w:wordWrap/>
        <w:overflowPunct/>
        <w:topLinePunct w:val="0"/>
        <w:autoSpaceDE/>
        <w:autoSpaceDN/>
        <w:bidi w:val="0"/>
        <w:spacing w:line="460" w:lineRule="exact"/>
        <w:ind w:firstLine="560" w:firstLineChars="200"/>
        <w:rPr>
          <w:rFonts w:hint="default" w:ascii="仿宋" w:hAnsi="仿宋" w:eastAsia="仿宋" w:cs="宋体"/>
          <w:bCs/>
          <w:sz w:val="28"/>
          <w:szCs w:val="28"/>
          <w:highlight w:val="none"/>
        </w:rPr>
      </w:pPr>
      <w:r>
        <w:rPr>
          <w:rFonts w:hint="eastAsia" w:ascii="仿宋" w:hAnsi="仿宋" w:eastAsia="仿宋" w:cs="宋体"/>
          <w:bCs/>
          <w:sz w:val="28"/>
          <w:szCs w:val="28"/>
          <w:highlight w:val="none"/>
          <w:lang w:val="en-US" w:eastAsia="zh-CN"/>
        </w:rPr>
        <w:t>4</w:t>
      </w:r>
      <w:r>
        <w:rPr>
          <w:rFonts w:hint="eastAsia" w:ascii="仿宋" w:hAnsi="仿宋" w:eastAsia="仿宋" w:cs="宋体"/>
          <w:bCs/>
          <w:sz w:val="28"/>
          <w:szCs w:val="28"/>
          <w:highlight w:val="none"/>
        </w:rPr>
        <w:t>.CA联系电话：0513-59001215。</w:t>
      </w:r>
    </w:p>
    <w:p w14:paraId="566DF341">
      <w:pPr>
        <w:keepNext w:val="0"/>
        <w:keepLines w:val="0"/>
        <w:pageBreakBefore w:val="0"/>
        <w:kinsoku/>
        <w:wordWrap/>
        <w:overflowPunct/>
        <w:topLinePunct w:val="0"/>
        <w:autoSpaceDE/>
        <w:autoSpaceDN/>
        <w:bidi w:val="0"/>
        <w:spacing w:line="460" w:lineRule="exact"/>
        <w:ind w:firstLine="840" w:firstLineChars="300"/>
        <w:rPr>
          <w:rFonts w:ascii="仿宋" w:hAnsi="仿宋" w:eastAsia="仿宋"/>
          <w:sz w:val="28"/>
          <w:szCs w:val="28"/>
          <w:highlight w:val="none"/>
          <w:u w:val="single"/>
        </w:rPr>
      </w:pPr>
    </w:p>
    <w:p w14:paraId="3FC075F3">
      <w:pPr>
        <w:keepNext w:val="0"/>
        <w:keepLines w:val="0"/>
        <w:pageBreakBefore w:val="0"/>
        <w:kinsoku/>
        <w:wordWrap/>
        <w:overflowPunct/>
        <w:topLinePunct w:val="0"/>
        <w:autoSpaceDE/>
        <w:autoSpaceDN/>
        <w:bidi w:val="0"/>
        <w:adjustRightInd w:val="0"/>
        <w:snapToGrid w:val="0"/>
        <w:spacing w:line="460" w:lineRule="exact"/>
        <w:rPr>
          <w:rFonts w:ascii="仿宋" w:hAnsi="仿宋" w:eastAsia="仿宋"/>
          <w:b/>
          <w:sz w:val="28"/>
          <w:szCs w:val="28"/>
          <w:highlight w:val="none"/>
        </w:rPr>
      </w:pPr>
      <w:r>
        <w:rPr>
          <w:rFonts w:ascii="仿宋" w:hAnsi="仿宋" w:eastAsia="仿宋"/>
          <w:b/>
          <w:sz w:val="28"/>
          <w:szCs w:val="28"/>
          <w:highlight w:val="none"/>
        </w:rPr>
        <w:t>附件:</w:t>
      </w:r>
    </w:p>
    <w:p w14:paraId="66520A68">
      <w:pPr>
        <w:keepNext w:val="0"/>
        <w:keepLines w:val="0"/>
        <w:pageBreakBefore w:val="0"/>
        <w:kinsoku/>
        <w:wordWrap/>
        <w:overflowPunct/>
        <w:topLinePunct w:val="0"/>
        <w:autoSpaceDE/>
        <w:autoSpaceDN/>
        <w:bidi w:val="0"/>
        <w:adjustRightInd w:val="0"/>
        <w:snapToGrid w:val="0"/>
        <w:spacing w:line="460" w:lineRule="exact"/>
        <w:rPr>
          <w:rFonts w:ascii="仿宋" w:hAnsi="仿宋" w:eastAsia="仿宋"/>
          <w:b/>
          <w:sz w:val="28"/>
          <w:szCs w:val="28"/>
          <w:highlight w:val="none"/>
        </w:rPr>
      </w:pPr>
      <w:r>
        <w:rPr>
          <w:rFonts w:hint="eastAsia" w:ascii="仿宋" w:hAnsi="仿宋" w:eastAsia="仿宋"/>
          <w:b/>
          <w:sz w:val="28"/>
          <w:szCs w:val="28"/>
          <w:highlight w:val="none"/>
        </w:rPr>
        <w:t>1.南通市政府采购线上合同信用融资政策告知函</w:t>
      </w:r>
    </w:p>
    <w:p w14:paraId="747DA84C">
      <w:pPr>
        <w:keepNext w:val="0"/>
        <w:keepLines w:val="0"/>
        <w:pageBreakBefore w:val="0"/>
        <w:kinsoku/>
        <w:wordWrap/>
        <w:overflowPunct/>
        <w:topLinePunct w:val="0"/>
        <w:autoSpaceDE/>
        <w:autoSpaceDN/>
        <w:bidi w:val="0"/>
        <w:adjustRightInd w:val="0"/>
        <w:snapToGrid w:val="0"/>
        <w:spacing w:line="460" w:lineRule="exact"/>
        <w:rPr>
          <w:rFonts w:ascii="仿宋" w:hAnsi="仿宋" w:eastAsia="仿宋"/>
          <w:b/>
          <w:sz w:val="28"/>
          <w:szCs w:val="28"/>
          <w:highlight w:val="none"/>
        </w:rPr>
      </w:pPr>
      <w:r>
        <w:rPr>
          <w:rFonts w:hint="eastAsia" w:ascii="仿宋" w:hAnsi="仿宋" w:eastAsia="仿宋"/>
          <w:b/>
          <w:sz w:val="28"/>
          <w:szCs w:val="28"/>
          <w:highlight w:val="none"/>
        </w:rPr>
        <w:t>2.谈</w:t>
      </w:r>
      <w:r>
        <w:rPr>
          <w:rFonts w:ascii="仿宋" w:hAnsi="仿宋" w:eastAsia="仿宋"/>
          <w:b/>
          <w:sz w:val="28"/>
          <w:szCs w:val="28"/>
          <w:highlight w:val="none"/>
        </w:rPr>
        <w:t>判文件</w:t>
      </w:r>
    </w:p>
    <w:p w14:paraId="01C81258">
      <w:pPr>
        <w:pStyle w:val="37"/>
        <w:keepNext w:val="0"/>
        <w:keepLines w:val="0"/>
        <w:pageBreakBefore w:val="0"/>
        <w:kinsoku/>
        <w:wordWrap/>
        <w:overflowPunct/>
        <w:topLinePunct w:val="0"/>
        <w:autoSpaceDE/>
        <w:autoSpaceDN/>
        <w:bidi w:val="0"/>
        <w:spacing w:before="0" w:after="0" w:line="460" w:lineRule="exact"/>
        <w:ind w:firstLine="0"/>
        <w:rPr>
          <w:rFonts w:ascii="仿宋" w:hAnsi="仿宋" w:eastAsia="仿宋"/>
          <w:b/>
          <w:sz w:val="28"/>
          <w:szCs w:val="28"/>
          <w:highlight w:val="none"/>
        </w:rPr>
      </w:pPr>
      <w:r>
        <w:rPr>
          <w:rFonts w:hint="eastAsia" w:ascii="仿宋" w:hAnsi="仿宋" w:eastAsia="仿宋"/>
          <w:b/>
          <w:sz w:val="28"/>
          <w:szCs w:val="28"/>
          <w:highlight w:val="none"/>
        </w:rPr>
        <w:t>3.采购人</w:t>
      </w:r>
      <w:r>
        <w:rPr>
          <w:rFonts w:ascii="仿宋" w:hAnsi="仿宋" w:eastAsia="仿宋"/>
          <w:b/>
          <w:sz w:val="28"/>
          <w:szCs w:val="28"/>
          <w:highlight w:val="none"/>
        </w:rPr>
        <w:t>信用承诺</w:t>
      </w:r>
    </w:p>
    <w:p w14:paraId="58C93777">
      <w:pPr>
        <w:pStyle w:val="37"/>
        <w:keepNext w:val="0"/>
        <w:keepLines w:val="0"/>
        <w:pageBreakBefore w:val="0"/>
        <w:widowControl w:val="0"/>
        <w:kinsoku/>
        <w:wordWrap/>
        <w:overflowPunct/>
        <w:topLinePunct w:val="0"/>
        <w:autoSpaceDE/>
        <w:autoSpaceDN/>
        <w:bidi w:val="0"/>
        <w:snapToGrid/>
        <w:spacing w:before="0" w:after="0" w:line="460" w:lineRule="exact"/>
        <w:ind w:firstLine="0"/>
        <w:jc w:val="center"/>
        <w:rPr>
          <w:rFonts w:ascii="方正小标宋简体" w:eastAsia="方正小标宋简体"/>
          <w:bCs/>
          <w:sz w:val="32"/>
          <w:szCs w:val="32"/>
          <w:highlight w:val="none"/>
        </w:rPr>
      </w:pPr>
      <w:r>
        <w:rPr>
          <w:rFonts w:ascii="宋体" w:hAnsi="宋体"/>
          <w:highlight w:val="none"/>
        </w:rPr>
        <w:br w:type="page"/>
      </w:r>
      <w:r>
        <w:rPr>
          <w:rFonts w:hint="eastAsia" w:ascii="方正小标宋简体" w:eastAsia="方正小标宋简体"/>
          <w:bCs/>
          <w:sz w:val="32"/>
          <w:szCs w:val="32"/>
          <w:highlight w:val="none"/>
        </w:rPr>
        <w:t>第2章 谈判须知</w:t>
      </w:r>
    </w:p>
    <w:p w14:paraId="4080A4BF">
      <w:pPr>
        <w:keepNext w:val="0"/>
        <w:keepLines w:val="0"/>
        <w:pageBreakBefore w:val="0"/>
        <w:widowControl w:val="0"/>
        <w:kinsoku/>
        <w:wordWrap/>
        <w:overflowPunct/>
        <w:topLinePunct w:val="0"/>
        <w:autoSpaceDE/>
        <w:autoSpaceDN/>
        <w:bidi w:val="0"/>
        <w:snapToGrid/>
        <w:spacing w:line="460" w:lineRule="exact"/>
        <w:ind w:firstLine="548" w:firstLineChars="196"/>
        <w:rPr>
          <w:rFonts w:ascii="黑体" w:hAnsi="黑体" w:eastAsia="黑体"/>
          <w:sz w:val="28"/>
          <w:szCs w:val="28"/>
          <w:highlight w:val="none"/>
        </w:rPr>
      </w:pPr>
      <w:r>
        <w:rPr>
          <w:rFonts w:hint="eastAsia" w:ascii="黑体" w:hAnsi="黑体" w:eastAsia="黑体"/>
          <w:sz w:val="28"/>
          <w:szCs w:val="28"/>
          <w:highlight w:val="none"/>
        </w:rPr>
        <w:t>1. 参加谈判费用</w:t>
      </w:r>
    </w:p>
    <w:p w14:paraId="7D0BA540">
      <w:pPr>
        <w:keepNext w:val="0"/>
        <w:keepLines w:val="0"/>
        <w:pageBreakBefore w:val="0"/>
        <w:widowControl w:val="0"/>
        <w:tabs>
          <w:tab w:val="left" w:pos="900"/>
        </w:tabs>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参加竞争性谈判活动的供应商，应自行承担所有与准备和参加竞争性谈判活动有关的费用，无论谈判过程中做法和结果如何，采购人或者代理机构在任何情况下均无义务和责任承担这些费用。</w:t>
      </w:r>
    </w:p>
    <w:p w14:paraId="117D76A9">
      <w:pPr>
        <w:keepNext w:val="0"/>
        <w:keepLines w:val="0"/>
        <w:pageBreakBefore w:val="0"/>
        <w:widowControl w:val="0"/>
        <w:tabs>
          <w:tab w:val="left" w:pos="900"/>
        </w:tabs>
        <w:kinsoku/>
        <w:wordWrap/>
        <w:overflowPunct/>
        <w:topLinePunct w:val="0"/>
        <w:autoSpaceDE/>
        <w:autoSpaceDN/>
        <w:bidi w:val="0"/>
        <w:snapToGrid/>
        <w:spacing w:line="460" w:lineRule="exact"/>
        <w:ind w:firstLine="557" w:firstLineChars="199"/>
        <w:rPr>
          <w:rFonts w:ascii="黑体" w:hAnsi="黑体" w:eastAsia="黑体"/>
          <w:sz w:val="28"/>
          <w:szCs w:val="28"/>
          <w:highlight w:val="none"/>
        </w:rPr>
      </w:pPr>
      <w:r>
        <w:rPr>
          <w:rFonts w:hint="eastAsia" w:ascii="黑体" w:hAnsi="黑体" w:eastAsia="黑体"/>
          <w:sz w:val="28"/>
          <w:szCs w:val="28"/>
          <w:highlight w:val="none"/>
        </w:rPr>
        <w:t>2. 谈判文件的约束力</w:t>
      </w:r>
    </w:p>
    <w:p w14:paraId="174F0081">
      <w:pPr>
        <w:keepNext w:val="0"/>
        <w:keepLines w:val="0"/>
        <w:pageBreakBefore w:val="0"/>
        <w:widowControl w:val="0"/>
        <w:tabs>
          <w:tab w:val="left" w:pos="900"/>
        </w:tabs>
        <w:kinsoku/>
        <w:wordWrap/>
        <w:overflowPunct/>
        <w:topLinePunct w:val="0"/>
        <w:autoSpaceDE/>
        <w:autoSpaceDN/>
        <w:bidi w:val="0"/>
        <w:snapToGrid/>
        <w:spacing w:line="460" w:lineRule="exact"/>
        <w:ind w:left="120" w:leftChars="57" w:firstLine="557" w:firstLineChars="199"/>
        <w:rPr>
          <w:rFonts w:ascii="仿宋" w:hAnsi="仿宋" w:eastAsia="仿宋"/>
          <w:sz w:val="28"/>
          <w:szCs w:val="28"/>
          <w:highlight w:val="none"/>
        </w:rPr>
      </w:pPr>
      <w:r>
        <w:rPr>
          <w:rFonts w:hint="eastAsia" w:ascii="仿宋" w:hAnsi="仿宋" w:eastAsia="仿宋"/>
          <w:sz w:val="28"/>
          <w:szCs w:val="28"/>
          <w:highlight w:val="none"/>
        </w:rPr>
        <w:t>2.1供应商一旦参加本项目谈判活动，即被认为接受了本谈判文件的规定和约束。本谈判文件由谈判公告、谈判须知、采购需求、合同文本、响应文件组成、以及</w:t>
      </w:r>
      <w:r>
        <w:rPr>
          <w:rFonts w:hint="eastAsia" w:ascii="仿宋" w:hAnsi="仿宋" w:eastAsia="仿宋"/>
          <w:bCs/>
          <w:sz w:val="28"/>
          <w:szCs w:val="28"/>
          <w:highlight w:val="none"/>
        </w:rPr>
        <w:t>“苏采云”系统相关要求</w:t>
      </w:r>
      <w:r>
        <w:rPr>
          <w:rFonts w:hint="eastAsia" w:ascii="仿宋" w:hAnsi="仿宋" w:eastAsia="仿宋"/>
          <w:sz w:val="28"/>
          <w:szCs w:val="28"/>
          <w:highlight w:val="none"/>
        </w:rPr>
        <w:t>等部分组成。</w:t>
      </w:r>
    </w:p>
    <w:p w14:paraId="6D1E0098">
      <w:pPr>
        <w:keepNext w:val="0"/>
        <w:keepLines w:val="0"/>
        <w:pageBreakBefore w:val="0"/>
        <w:widowControl w:val="0"/>
        <w:tabs>
          <w:tab w:val="left" w:pos="900"/>
        </w:tabs>
        <w:kinsoku/>
        <w:wordWrap/>
        <w:overflowPunct/>
        <w:topLinePunct w:val="0"/>
        <w:autoSpaceDE/>
        <w:autoSpaceDN/>
        <w:bidi w:val="0"/>
        <w:snapToGrid/>
        <w:spacing w:line="46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6109B449">
      <w:pPr>
        <w:keepNext w:val="0"/>
        <w:keepLines w:val="0"/>
        <w:pageBreakBefore w:val="0"/>
        <w:widowControl w:val="0"/>
        <w:tabs>
          <w:tab w:val="left" w:pos="900"/>
        </w:tabs>
        <w:kinsoku/>
        <w:wordWrap/>
        <w:overflowPunct/>
        <w:topLinePunct w:val="0"/>
        <w:autoSpaceDE/>
        <w:autoSpaceDN/>
        <w:bidi w:val="0"/>
        <w:snapToGrid/>
        <w:spacing w:line="460" w:lineRule="exact"/>
        <w:ind w:firstLine="697" w:firstLineChars="249"/>
        <w:rPr>
          <w:rFonts w:ascii="仿宋" w:hAnsi="仿宋" w:eastAsia="仿宋"/>
          <w:sz w:val="28"/>
          <w:szCs w:val="28"/>
          <w:highlight w:val="none"/>
        </w:rPr>
      </w:pPr>
      <w:r>
        <w:rPr>
          <w:rFonts w:hint="eastAsia" w:ascii="仿宋" w:hAnsi="仿宋" w:eastAsia="仿宋"/>
          <w:sz w:val="28"/>
          <w:szCs w:val="28"/>
          <w:highlight w:val="none"/>
        </w:rPr>
        <w:t>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p>
    <w:p w14:paraId="23E1DE29">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3.响应文件编制</w:t>
      </w:r>
    </w:p>
    <w:p w14:paraId="27425FF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highlight w:val="none"/>
        </w:rPr>
        <w:t>。</w:t>
      </w:r>
    </w:p>
    <w:p w14:paraId="24E211BD">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除技术性能另有规定外，响应文件所使用的度量衡单位，均须采用国家法定计量单位</w:t>
      </w:r>
      <w:r>
        <w:rPr>
          <w:rFonts w:ascii="仿宋" w:hAnsi="仿宋" w:eastAsia="仿宋"/>
          <w:sz w:val="28"/>
          <w:szCs w:val="28"/>
          <w:highlight w:val="none"/>
        </w:rPr>
        <w:t>。</w:t>
      </w:r>
    </w:p>
    <w:p w14:paraId="0EE05337">
      <w:pPr>
        <w:keepNext w:val="0"/>
        <w:keepLines w:val="0"/>
        <w:pageBreakBefore w:val="0"/>
        <w:widowControl w:val="0"/>
        <w:tabs>
          <w:tab w:val="left" w:pos="900"/>
        </w:tabs>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3.3 供应商编写的响应文件应包括资格审查文件、商务技术文件、报价文件等部分，具体按照 第5章响应文件组成”要求编写</w:t>
      </w:r>
      <w:r>
        <w:rPr>
          <w:rFonts w:ascii="仿宋" w:hAnsi="仿宋" w:eastAsia="仿宋"/>
          <w:sz w:val="28"/>
          <w:szCs w:val="28"/>
          <w:highlight w:val="none"/>
        </w:rPr>
        <w:t>。</w:t>
      </w:r>
    </w:p>
    <w:p w14:paraId="0F358D90">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sz w:val="28"/>
          <w:szCs w:val="28"/>
          <w:highlight w:val="none"/>
        </w:rPr>
      </w:pPr>
      <w:bookmarkStart w:id="35" w:name="_Hlt26670354"/>
      <w:bookmarkEnd w:id="35"/>
      <w:bookmarkStart w:id="36" w:name="_Hlt26954828"/>
      <w:bookmarkEnd w:id="36"/>
      <w:bookmarkStart w:id="37" w:name="_Hlt26670345"/>
      <w:bookmarkEnd w:id="37"/>
      <w:bookmarkStart w:id="38" w:name="_Hlt26670348"/>
      <w:bookmarkEnd w:id="38"/>
      <w:bookmarkStart w:id="39" w:name="_Hlt26668969"/>
      <w:bookmarkEnd w:id="39"/>
      <w:bookmarkStart w:id="40" w:name="_Hlt26954830"/>
      <w:bookmarkEnd w:id="40"/>
      <w:bookmarkStart w:id="41" w:name="_Hlt26954832"/>
      <w:bookmarkEnd w:id="41"/>
      <w:r>
        <w:rPr>
          <w:rFonts w:hint="eastAsia" w:ascii="黑体" w:hAnsi="黑体" w:eastAsia="黑体"/>
          <w:sz w:val="28"/>
          <w:szCs w:val="28"/>
          <w:highlight w:val="none"/>
        </w:rPr>
        <w:t>4.响应文件提交、撤回和修改</w:t>
      </w:r>
    </w:p>
    <w:p w14:paraId="3600F167">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sz w:val="28"/>
          <w:szCs w:val="28"/>
          <w:highlight w:val="none"/>
        </w:rPr>
        <w:t>4.1 供应商</w:t>
      </w:r>
      <w:r>
        <w:rPr>
          <w:rFonts w:hint="eastAsia" w:ascii="仿宋" w:hAnsi="仿宋" w:eastAsia="仿宋"/>
          <w:bCs/>
          <w:sz w:val="28"/>
          <w:szCs w:val="28"/>
          <w:highlight w:val="none"/>
        </w:rPr>
        <w:t>对CA证书妥善保管，如被他人盗用</w:t>
      </w:r>
      <w:r>
        <w:rPr>
          <w:rFonts w:hint="eastAsia" w:ascii="仿宋" w:hAnsi="仿宋" w:eastAsia="仿宋"/>
          <w:bCs/>
          <w:sz w:val="28"/>
          <w:szCs w:val="28"/>
          <w:highlight w:val="none"/>
          <w:lang w:eastAsia="zh-CN"/>
        </w:rPr>
        <w:t>响应</w:t>
      </w:r>
      <w:r>
        <w:rPr>
          <w:rFonts w:hint="eastAsia" w:ascii="仿宋" w:hAnsi="仿宋" w:eastAsia="仿宋"/>
          <w:bCs/>
          <w:sz w:val="28"/>
          <w:szCs w:val="28"/>
          <w:highlight w:val="none"/>
        </w:rPr>
        <w:t>，因此带来的结果均由供应商自行承担。</w:t>
      </w:r>
    </w:p>
    <w:p w14:paraId="39D2FA5C">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供应商应当按照采购文件和“苏采云”系统的要求编制并加密响应文件。</w:t>
      </w:r>
    </w:p>
    <w:p w14:paraId="36857829">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4.3 供应商应当对采购文件提出的实质性要求和条件作出实质性响应，并在电子</w:t>
      </w:r>
      <w:r>
        <w:rPr>
          <w:rFonts w:hint="eastAsia" w:ascii="仿宋" w:hAnsi="仿宋" w:eastAsia="仿宋"/>
          <w:bCs/>
          <w:sz w:val="28"/>
          <w:szCs w:val="28"/>
          <w:highlight w:val="none"/>
          <w:lang w:eastAsia="zh-CN"/>
        </w:rPr>
        <w:t>响应</w:t>
      </w:r>
      <w:r>
        <w:rPr>
          <w:rFonts w:hint="eastAsia" w:ascii="仿宋" w:hAnsi="仿宋" w:eastAsia="仿宋"/>
          <w:bCs/>
          <w:sz w:val="28"/>
          <w:szCs w:val="28"/>
          <w:highlight w:val="none"/>
        </w:rPr>
        <w:t>系统逐条应答。</w:t>
      </w:r>
    </w:p>
    <w:p w14:paraId="5867768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4.4 供应商应对要求提供的资格证明文件（如资质证书、资格证书）、技术资料（如白皮书、彩页、手册、检测报告等）扫描上传至</w:t>
      </w:r>
      <w:r>
        <w:rPr>
          <w:rFonts w:hint="eastAsia" w:ascii="仿宋" w:hAnsi="仿宋" w:eastAsia="仿宋"/>
          <w:bCs/>
          <w:sz w:val="28"/>
          <w:szCs w:val="28"/>
          <w:highlight w:val="none"/>
          <w:lang w:eastAsia="zh-CN"/>
        </w:rPr>
        <w:t>响应</w:t>
      </w:r>
      <w:r>
        <w:rPr>
          <w:rFonts w:hint="eastAsia" w:ascii="仿宋" w:hAnsi="仿宋" w:eastAsia="仿宋"/>
          <w:bCs/>
          <w:sz w:val="28"/>
          <w:szCs w:val="28"/>
          <w:highlight w:val="none"/>
        </w:rPr>
        <w:t>系统。</w:t>
      </w:r>
    </w:p>
    <w:p w14:paraId="19BBCC7C">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4.5 供应商须通过“苏采云”系统提供的政府采购客户端工具（使用“CA数字证书”）加盖电子签章，并对电子响应文件加密。未按规定加密的响应文件，“苏采云”系统拒收并提示。</w:t>
      </w:r>
    </w:p>
    <w:p w14:paraId="4D2DE007">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2D5578A1">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4.7 供应商可在响应文件提交截止时间前，撤回其电子响应文件，具体操作方法见《江苏省政府采购（供应商）国信CA数字证书及电子签章办理指南》。供应商撤回电子响应文件的，则认为其不再参与本项目谈判活动。</w:t>
      </w:r>
    </w:p>
    <w:p w14:paraId="1F998E4E">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4.8供应商可在响应文件提交截止时间前，对其电子响应文件进行修改。在响应文件提交截止时间之后，供应商不得对其电子响应文件作任何修改。</w:t>
      </w:r>
    </w:p>
    <w:p w14:paraId="57D0E0B6">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4.9 采购代理机构可以通过修改谈判文件，酌情延长响应文件提交截止时间。</w:t>
      </w:r>
    </w:p>
    <w:p w14:paraId="331059E6">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4.10 响应文件的有效期：从提交响应文件截止日起90天。</w:t>
      </w:r>
    </w:p>
    <w:p w14:paraId="76057FA5">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sz w:val="28"/>
          <w:szCs w:val="28"/>
          <w:highlight w:val="none"/>
        </w:rPr>
      </w:pPr>
      <w:bookmarkStart w:id="42" w:name="_Hlt26670523"/>
      <w:bookmarkEnd w:id="42"/>
      <w:bookmarkStart w:id="43" w:name="_Hlt26954864"/>
      <w:bookmarkEnd w:id="43"/>
      <w:r>
        <w:rPr>
          <w:rFonts w:hint="eastAsia" w:ascii="黑体" w:hAnsi="黑体" w:eastAsia="黑体"/>
          <w:sz w:val="28"/>
          <w:szCs w:val="28"/>
          <w:highlight w:val="none"/>
        </w:rPr>
        <w:t>5. 谈判</w:t>
      </w:r>
    </w:p>
    <w:p w14:paraId="3CDD1204">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bookmarkStart w:id="44" w:name="_Toc513029231"/>
      <w:bookmarkStart w:id="45" w:name="_Toc16938547"/>
      <w:bookmarkStart w:id="46" w:name="_Toc20823303"/>
      <w:r>
        <w:rPr>
          <w:rFonts w:hint="eastAsia" w:ascii="仿宋" w:hAnsi="仿宋" w:eastAsia="仿宋"/>
          <w:sz w:val="28"/>
          <w:szCs w:val="28"/>
          <w:highlight w:val="none"/>
        </w:rPr>
        <w:t>5.1 采购人或者代理机构将在竞争性谈判公告中规定的时间和地点组织竞争性谈判活动。</w:t>
      </w:r>
    </w:p>
    <w:p w14:paraId="0EE39713">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5.2竞争性谈判开始前，供应商使用CA数字证书登录“苏采云”系统，并根据开标会议区发出响应文件解密的指令，在30分钟之内使用CA数字证书解密各自响应文件。</w:t>
      </w:r>
    </w:p>
    <w:p w14:paraId="43CF7B78">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0816E034">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bCs/>
          <w:sz w:val="28"/>
          <w:szCs w:val="28"/>
          <w:highlight w:val="none"/>
        </w:rPr>
        <w:t>5.4因采购人原因或网上招</w:t>
      </w:r>
      <w:r>
        <w:rPr>
          <w:rFonts w:hint="eastAsia" w:ascii="仿宋" w:hAnsi="仿宋" w:eastAsia="仿宋"/>
          <w:bCs/>
          <w:sz w:val="28"/>
          <w:szCs w:val="28"/>
          <w:highlight w:val="none"/>
          <w:lang w:eastAsia="zh-CN"/>
        </w:rPr>
        <w:t>响应</w:t>
      </w:r>
      <w:r>
        <w:rPr>
          <w:rFonts w:hint="eastAsia" w:ascii="仿宋" w:hAnsi="仿宋" w:eastAsia="仿宋"/>
          <w:bCs/>
          <w:sz w:val="28"/>
          <w:szCs w:val="28"/>
          <w:highlight w:val="none"/>
        </w:rPr>
        <w:t>平台发生故障，导致无法按时完成响应文件解密或评审工作无法进行的，可根据实际情况相应延迟解密时间或调整评审时间。</w:t>
      </w:r>
    </w:p>
    <w:p w14:paraId="05CB6F34">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5.5 谈判小组由政府采购评审专家、采购人代表组成。评审专家不得以评审专家身份参加本部门或本单位采购项目的评审。达到公开招标限额标准的项目，谈判小组应当由5人以上单数组成。</w:t>
      </w:r>
    </w:p>
    <w:p w14:paraId="163CD46E">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5.6 谈判小组对响应文件的有效性、完整性和响应程度进行审查。谈判小组在审查分为资格审查和符合性审查。响应供应商未通过审查的，告知其具体原因。</w:t>
      </w:r>
    </w:p>
    <w:p w14:paraId="1FAC13F0">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5.7 谈判小组审查时，可以通过视频会议，要求供应商对响应文件中含义不明确、同类问题表述不一致或者有明显文字和计算错误的内容等作出必要的澄清、说明或者更正。</w:t>
      </w:r>
    </w:p>
    <w:p w14:paraId="18504E8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接到澄清要求的供应商，应在谈判小组规定的时间内做出澄清，澄清的内容作为响应文件的补充部分，</w:t>
      </w:r>
      <w:r>
        <w:rPr>
          <w:rFonts w:hint="eastAsia" w:ascii="仿宋" w:hAnsi="仿宋" w:eastAsia="仿宋"/>
          <w:sz w:val="28"/>
          <w:szCs w:val="28"/>
          <w:highlight w:val="none"/>
        </w:rPr>
        <w:t>但澄清、说明或者更正不得超出响应文件的范围或者改变响应文件的实质性内容。</w:t>
      </w:r>
    </w:p>
    <w:p w14:paraId="6C6A4FC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供应商在评审全过程中应保持通讯畅通，并安排专人与采购人或采购代理机构及磋商小组联系</w:t>
      </w:r>
      <w:r>
        <w:rPr>
          <w:rFonts w:ascii="仿宋" w:hAnsi="仿宋" w:eastAsia="仿宋"/>
          <w:sz w:val="28"/>
          <w:szCs w:val="28"/>
          <w:highlight w:val="none"/>
        </w:rPr>
        <w:t>。</w:t>
      </w:r>
    </w:p>
    <w:p w14:paraId="3609B580">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p>
    <w:p w14:paraId="35163827">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p>
    <w:p w14:paraId="6EFA4026">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5.12需经谈判由供应商提供最终设计方案或解决方案的，谈判结束后，谈判小组按照少数服从多数的原则投票推荐3家以上供应商的设计方案或者解决方案，并要求其在规定时间内提交最后报价。</w:t>
      </w:r>
    </w:p>
    <w:p w14:paraId="50B72279">
      <w:pPr>
        <w:keepNext w:val="0"/>
        <w:keepLines w:val="0"/>
        <w:pageBreakBefore w:val="0"/>
        <w:widowControl w:val="0"/>
        <w:kinsoku/>
        <w:wordWrap/>
        <w:overflowPunct/>
        <w:topLinePunct w:val="0"/>
        <w:autoSpaceDE/>
        <w:autoSpaceDN/>
        <w:bidi w:val="0"/>
        <w:snapToGrid/>
        <w:spacing w:line="460" w:lineRule="exact"/>
        <w:ind w:firstLine="562" w:firstLineChars="200"/>
        <w:rPr>
          <w:rFonts w:ascii="仿宋" w:hAnsi="仿宋" w:eastAsia="仿宋"/>
          <w:b/>
          <w:sz w:val="28"/>
          <w:szCs w:val="28"/>
          <w:highlight w:val="none"/>
        </w:rPr>
      </w:pPr>
      <w:r>
        <w:rPr>
          <w:rFonts w:hint="eastAsia" w:ascii="仿宋" w:hAnsi="仿宋" w:eastAsia="仿宋"/>
          <w:b/>
          <w:sz w:val="28"/>
          <w:szCs w:val="28"/>
          <w:highlight w:val="none"/>
        </w:rPr>
        <w:t>5.13 在通过资格审查、符合性审查的供应商中，有多家供应商提供相同品牌的产品或者核心产品的，按一家响应供应商计算，评审后最后报价最低的供应商获得成交人推荐资格。</w:t>
      </w:r>
    </w:p>
    <w:p w14:paraId="48F10432">
      <w:pPr>
        <w:keepNext w:val="0"/>
        <w:keepLines w:val="0"/>
        <w:pageBreakBefore w:val="0"/>
        <w:widowControl w:val="0"/>
        <w:kinsoku/>
        <w:wordWrap/>
        <w:overflowPunct/>
        <w:topLinePunct w:val="0"/>
        <w:autoSpaceDE/>
        <w:autoSpaceDN/>
        <w:bidi w:val="0"/>
        <w:snapToGrid/>
        <w:spacing w:line="460" w:lineRule="exact"/>
        <w:ind w:firstLine="562" w:firstLineChars="200"/>
        <w:rPr>
          <w:rFonts w:ascii="仿宋" w:hAnsi="仿宋" w:eastAsia="仿宋"/>
          <w:b/>
          <w:sz w:val="28"/>
          <w:szCs w:val="28"/>
          <w:highlight w:val="none"/>
        </w:rPr>
      </w:pPr>
      <w:r>
        <w:rPr>
          <w:rFonts w:hint="eastAsia" w:ascii="仿宋" w:hAnsi="仿宋" w:eastAsia="仿宋"/>
          <w:b/>
          <w:sz w:val="28"/>
          <w:szCs w:val="28"/>
          <w:highlight w:val="none"/>
        </w:rPr>
        <w:t>5.14 当最后报价中具有最低报价的供应商多于1名时，组织报价最低的供应商进行现场竞价，直至报价出现差别时为止。</w:t>
      </w:r>
    </w:p>
    <w:p w14:paraId="0A18E34B">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 有下列情形之一的，视为供应商串通，其响应无效：</w:t>
      </w:r>
    </w:p>
    <w:p w14:paraId="6D93C69A">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5.15.1不同供应商的响应文件由同一单位或者个人编制；</w:t>
      </w:r>
    </w:p>
    <w:p w14:paraId="0B8BEDED">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5.15.2不同供应商的电子响应文件由同一台电子设备编制、打包、加密或者上传；</w:t>
      </w:r>
    </w:p>
    <w:p w14:paraId="3080D09A">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5.15.3 不同供应商的响应文件由同一供应商的电子设备打印、复印；</w:t>
      </w:r>
    </w:p>
    <w:p w14:paraId="4E25866E">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5.15.4不同供应商的响应报价用同一个预算编制软件密码锁制作或者出自同一供应商的电子文档；</w:t>
      </w:r>
    </w:p>
    <w:p w14:paraId="284241F9">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5.15.5不同供应商从同一个单位或者同一个自然人的互联网协议地址下载竞争性谈判文件、上传响应文件；</w:t>
      </w:r>
    </w:p>
    <w:p w14:paraId="775F6955">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5.15.6 不同供应商的响应文件异常一致或者响应报价呈规律性差异；</w:t>
      </w:r>
    </w:p>
    <w:p w14:paraId="4BFA3D51">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5.15.7 不同供应商委托同一单位或者个人办理谈判事宜；</w:t>
      </w:r>
    </w:p>
    <w:p w14:paraId="1B9A051D">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5.15.8不同供应商的响应文件载明的项目管理成员或者联系人员为同一人；</w:t>
      </w:r>
    </w:p>
    <w:p w14:paraId="42A04CE7">
      <w:pPr>
        <w:keepNext w:val="0"/>
        <w:keepLines w:val="0"/>
        <w:pageBreakBefore w:val="0"/>
        <w:widowControl w:val="0"/>
        <w:kinsoku/>
        <w:wordWrap/>
        <w:overflowPunct/>
        <w:topLinePunct w:val="0"/>
        <w:autoSpaceDE/>
        <w:autoSpaceDN/>
        <w:bidi w:val="0"/>
        <w:snapToGrid/>
        <w:spacing w:line="460" w:lineRule="exact"/>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5.15.9不同供应商的谈判保证金虽然经由供应商自己的基本账户转出，但所需资金来自同一单位或者个人的账户。</w:t>
      </w:r>
    </w:p>
    <w:p w14:paraId="79A69CAA">
      <w:pPr>
        <w:keepNext w:val="0"/>
        <w:keepLines w:val="0"/>
        <w:pageBreakBefore w:val="0"/>
        <w:widowControl w:val="0"/>
        <w:kinsoku/>
        <w:wordWrap/>
        <w:overflowPunct/>
        <w:topLinePunct w:val="0"/>
        <w:autoSpaceDE/>
        <w:autoSpaceDN/>
        <w:bidi w:val="0"/>
        <w:snapToGrid/>
        <w:spacing w:line="460" w:lineRule="exact"/>
        <w:ind w:firstLine="562" w:firstLineChars="200"/>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rPr>
        <w:t>5.16 谈判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 50%或者低于采购项目最高限价 45%的，谈判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w:t>
      </w:r>
      <w:r>
        <w:rPr>
          <w:rFonts w:hint="eastAsia" w:ascii="仿宋" w:hAnsi="仿宋" w:eastAsia="仿宋" w:cs="Times New Roman"/>
          <w:b/>
          <w:bCs/>
          <w:sz w:val="28"/>
          <w:szCs w:val="28"/>
          <w:highlight w:val="none"/>
          <w:lang w:eastAsia="zh-CN"/>
        </w:rPr>
        <w:t>响应</w:t>
      </w:r>
      <w:r>
        <w:rPr>
          <w:rFonts w:hint="eastAsia" w:ascii="仿宋" w:hAnsi="仿宋" w:eastAsia="仿宋" w:cs="Times New Roman"/>
          <w:b/>
          <w:bCs/>
          <w:sz w:val="28"/>
          <w:szCs w:val="28"/>
          <w:highlight w:val="none"/>
        </w:rPr>
        <w:t>供应商不提供书面说明、证明材料，或者提供的书面说明、证明材料不能证明其报价合理性的，磋商小组应当将其作为无效响应处理。</w:t>
      </w:r>
    </w:p>
    <w:p w14:paraId="7BB2B741">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bCs/>
          <w:sz w:val="28"/>
          <w:szCs w:val="28"/>
          <w:highlight w:val="none"/>
        </w:rPr>
      </w:pPr>
      <w:r>
        <w:rPr>
          <w:rFonts w:hint="eastAsia" w:ascii="黑体" w:hAnsi="黑体" w:eastAsia="黑体"/>
          <w:bCs/>
          <w:sz w:val="28"/>
          <w:szCs w:val="28"/>
          <w:highlight w:val="none"/>
        </w:rPr>
        <w:t>6.成交和合同</w:t>
      </w:r>
    </w:p>
    <w:p w14:paraId="5AE24BC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6.1 谈判小组从质量和服务均能满足采购文件实质性响应要求的供应商中，按照最后报价由低到高的顺序提出3名以上成交候选人。</w:t>
      </w:r>
    </w:p>
    <w:p w14:paraId="12F057DF">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6.2 除资格性审查认定错误和价格计算错误外，采购人或者采购代理机构不得以任何理由组织重新评审。</w:t>
      </w:r>
    </w:p>
    <w:p w14:paraId="538BD0DB">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5C5CFE7C">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6579D0D">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3B20F312">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6.6采购人与成交供应商应当根据合同的约定依法履行合同义务。政府采购合同的履行、违约责任和解决争议的方法等适用《中华人民共和国民法典》。</w:t>
      </w:r>
    </w:p>
    <w:bookmarkEnd w:id="44"/>
    <w:bookmarkEnd w:id="45"/>
    <w:bookmarkEnd w:id="46"/>
    <w:p w14:paraId="51F72088">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bCs/>
          <w:sz w:val="28"/>
          <w:szCs w:val="28"/>
          <w:highlight w:val="none"/>
        </w:rPr>
      </w:pPr>
      <w:bookmarkStart w:id="47" w:name="_Toc513029235"/>
      <w:bookmarkStart w:id="48" w:name="_Toc20823307"/>
      <w:bookmarkStart w:id="49" w:name="_Toc16938551"/>
      <w:r>
        <w:rPr>
          <w:rFonts w:hint="eastAsia" w:ascii="黑体" w:hAnsi="黑体" w:eastAsia="黑体"/>
          <w:bCs/>
          <w:sz w:val="28"/>
          <w:szCs w:val="28"/>
          <w:highlight w:val="none"/>
        </w:rPr>
        <w:t>7.政府采购政策功能落实</w:t>
      </w:r>
    </w:p>
    <w:p w14:paraId="0A648B7B">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 对于非专门面向中小企业采购的项目，小微型企业享受价格扣除优惠。</w:t>
      </w:r>
    </w:p>
    <w:p w14:paraId="17DCC0EB">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25A3F26C">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p>
    <w:p w14:paraId="624567F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7.1.3价格扣除比例或者价格分加分比例对小型企业和微型企业同等对待，不作区分。</w:t>
      </w:r>
    </w:p>
    <w:p w14:paraId="0DEDC778">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 在政府采购活动中，供应商提供的货物、工程或者服务符合下列情形的，享受价格扣除政策：</w:t>
      </w:r>
    </w:p>
    <w:p w14:paraId="7C1ADCE9">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7.1.4.1 在货物采购项目中，货物由小微企业制造，即货物由小微企业生产且使用该小微企业商号或者注册商标；</w:t>
      </w:r>
    </w:p>
    <w:p w14:paraId="44DEE535">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7.1.4.2 在工程采购项目中，工程由小微企业承建，即工程施工单位为小微企业；</w:t>
      </w:r>
    </w:p>
    <w:p w14:paraId="279E1013">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7.1.4.3 在服务采购项目中，服务由小微企业承接，即提供服务的人员为小微企业依照《中华人民共和国劳动合同法》订立劳动合同的从业人员。</w:t>
      </w:r>
    </w:p>
    <w:p w14:paraId="44D651D8">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7.1.4.4 以联合体形式参加政府采购活动，联合体各方均为小微企业的，联合体视同小微企业。</w:t>
      </w:r>
    </w:p>
    <w:p w14:paraId="340CF6E3">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法的政府采购工程建设项目，响应供应商提供声明函内容不实的，属于弄虚作假骗取成交，依照《中华人民共和国招标</w:t>
      </w:r>
      <w:r>
        <w:rPr>
          <w:rFonts w:hint="eastAsia" w:ascii="仿宋" w:hAnsi="仿宋" w:eastAsia="仿宋"/>
          <w:sz w:val="28"/>
          <w:szCs w:val="28"/>
          <w:highlight w:val="none"/>
          <w:lang w:eastAsia="zh-CN"/>
        </w:rPr>
        <w:t>响应</w:t>
      </w:r>
      <w:r>
        <w:rPr>
          <w:rFonts w:hint="eastAsia" w:ascii="仿宋" w:hAnsi="仿宋" w:eastAsia="仿宋"/>
          <w:sz w:val="28"/>
          <w:szCs w:val="28"/>
          <w:highlight w:val="none"/>
        </w:rPr>
        <w:t>法》等国家有关规定追究相应责任。</w:t>
      </w:r>
    </w:p>
    <w:p w14:paraId="731ABE9C">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 下列情形不享受价格扣除政策：</w:t>
      </w:r>
    </w:p>
    <w:p w14:paraId="6BD81544">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7.1.6.1 在货物采购项目中，供应商提供的货物既有中小企业制造货物，也有大型企业制造货物的。</w:t>
      </w:r>
    </w:p>
    <w:p w14:paraId="30D5CB7A">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7.1.6.2 响应供应商与大企业的负责人为同一人，或者与大企业存在直接控股、管理关系。</w:t>
      </w:r>
    </w:p>
    <w:p w14:paraId="767376F7">
      <w:pPr>
        <w:keepNext w:val="0"/>
        <w:keepLines w:val="0"/>
        <w:pageBreakBefore w:val="0"/>
        <w:widowControl w:val="0"/>
        <w:kinsoku/>
        <w:wordWrap/>
        <w:overflowPunct/>
        <w:topLinePunct w:val="0"/>
        <w:autoSpaceDE/>
        <w:autoSpaceDN/>
        <w:bidi w:val="0"/>
        <w:snapToGrid/>
        <w:spacing w:line="46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7.1.7《中小企业划型标准规定》（工信部联企业〔2011〕300号）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47B1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1706E625">
            <w:pPr>
              <w:spacing w:line="500" w:lineRule="exact"/>
              <w:jc w:val="center"/>
              <w:rPr>
                <w:rFonts w:ascii="仿宋" w:hAnsi="仿宋" w:eastAsia="仿宋"/>
                <w:b/>
                <w:highlight w:val="none"/>
              </w:rPr>
            </w:pPr>
            <w:r>
              <w:rPr>
                <w:rFonts w:ascii="仿宋" w:hAnsi="仿宋" w:eastAsia="仿宋"/>
                <w:b/>
                <w:highlight w:val="none"/>
              </w:rPr>
              <w:t>行业名称</w:t>
            </w:r>
          </w:p>
        </w:tc>
        <w:tc>
          <w:tcPr>
            <w:tcW w:w="1447" w:type="dxa"/>
            <w:vAlign w:val="center"/>
          </w:tcPr>
          <w:p w14:paraId="5B136EB6">
            <w:pPr>
              <w:spacing w:line="500" w:lineRule="exact"/>
              <w:jc w:val="center"/>
              <w:rPr>
                <w:rFonts w:ascii="仿宋" w:hAnsi="仿宋" w:eastAsia="仿宋"/>
                <w:b/>
                <w:highlight w:val="none"/>
              </w:rPr>
            </w:pPr>
            <w:r>
              <w:rPr>
                <w:rFonts w:ascii="仿宋" w:hAnsi="仿宋" w:eastAsia="仿宋"/>
                <w:b/>
                <w:highlight w:val="none"/>
              </w:rPr>
              <w:t>指标名称</w:t>
            </w:r>
          </w:p>
        </w:tc>
        <w:tc>
          <w:tcPr>
            <w:tcW w:w="683" w:type="dxa"/>
            <w:vAlign w:val="center"/>
          </w:tcPr>
          <w:p w14:paraId="0ED0258B">
            <w:pPr>
              <w:spacing w:line="500" w:lineRule="exact"/>
              <w:jc w:val="center"/>
              <w:rPr>
                <w:rFonts w:ascii="仿宋" w:hAnsi="仿宋" w:eastAsia="仿宋"/>
                <w:b/>
                <w:highlight w:val="none"/>
              </w:rPr>
            </w:pPr>
            <w:r>
              <w:rPr>
                <w:rFonts w:ascii="仿宋" w:hAnsi="仿宋" w:eastAsia="仿宋"/>
                <w:b/>
                <w:highlight w:val="none"/>
              </w:rPr>
              <w:t>计量</w:t>
            </w:r>
          </w:p>
          <w:p w14:paraId="42FFA121">
            <w:pPr>
              <w:spacing w:line="500" w:lineRule="exact"/>
              <w:jc w:val="center"/>
              <w:rPr>
                <w:rFonts w:ascii="仿宋" w:hAnsi="仿宋" w:eastAsia="仿宋"/>
                <w:b/>
                <w:highlight w:val="none"/>
              </w:rPr>
            </w:pPr>
            <w:r>
              <w:rPr>
                <w:rFonts w:ascii="仿宋" w:hAnsi="仿宋" w:eastAsia="仿宋"/>
                <w:b/>
                <w:highlight w:val="none"/>
              </w:rPr>
              <w:t>单位</w:t>
            </w:r>
          </w:p>
        </w:tc>
        <w:tc>
          <w:tcPr>
            <w:tcW w:w="1830" w:type="dxa"/>
            <w:vAlign w:val="center"/>
          </w:tcPr>
          <w:p w14:paraId="674E5754">
            <w:pPr>
              <w:spacing w:line="500" w:lineRule="exact"/>
              <w:jc w:val="center"/>
              <w:rPr>
                <w:rFonts w:ascii="仿宋" w:hAnsi="仿宋" w:eastAsia="仿宋"/>
                <w:b/>
                <w:highlight w:val="none"/>
              </w:rPr>
            </w:pPr>
            <w:r>
              <w:rPr>
                <w:rFonts w:ascii="仿宋" w:hAnsi="仿宋" w:eastAsia="仿宋"/>
                <w:b/>
                <w:highlight w:val="none"/>
              </w:rPr>
              <w:t>中型</w:t>
            </w:r>
          </w:p>
        </w:tc>
        <w:tc>
          <w:tcPr>
            <w:tcW w:w="1572" w:type="dxa"/>
            <w:vAlign w:val="center"/>
          </w:tcPr>
          <w:p w14:paraId="0F4CFD9F">
            <w:pPr>
              <w:spacing w:line="500" w:lineRule="exact"/>
              <w:jc w:val="center"/>
              <w:rPr>
                <w:rFonts w:ascii="仿宋" w:hAnsi="仿宋" w:eastAsia="仿宋"/>
                <w:b/>
                <w:highlight w:val="none"/>
              </w:rPr>
            </w:pPr>
            <w:r>
              <w:rPr>
                <w:rFonts w:ascii="仿宋" w:hAnsi="仿宋" w:eastAsia="仿宋"/>
                <w:b/>
                <w:highlight w:val="none"/>
              </w:rPr>
              <w:t>小型</w:t>
            </w:r>
          </w:p>
        </w:tc>
        <w:tc>
          <w:tcPr>
            <w:tcW w:w="1036" w:type="dxa"/>
            <w:vAlign w:val="center"/>
          </w:tcPr>
          <w:p w14:paraId="136118C7">
            <w:pPr>
              <w:spacing w:line="500" w:lineRule="exact"/>
              <w:jc w:val="center"/>
              <w:rPr>
                <w:rFonts w:ascii="仿宋" w:hAnsi="仿宋" w:eastAsia="仿宋"/>
                <w:b/>
                <w:highlight w:val="none"/>
              </w:rPr>
            </w:pPr>
            <w:r>
              <w:rPr>
                <w:rFonts w:ascii="仿宋" w:hAnsi="仿宋" w:eastAsia="仿宋"/>
                <w:b/>
                <w:highlight w:val="none"/>
              </w:rPr>
              <w:t>微型</w:t>
            </w:r>
          </w:p>
        </w:tc>
      </w:tr>
      <w:tr w14:paraId="6103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22DC901E">
            <w:pPr>
              <w:spacing w:line="500" w:lineRule="exact"/>
              <w:jc w:val="center"/>
              <w:rPr>
                <w:rFonts w:ascii="仿宋" w:hAnsi="仿宋" w:eastAsia="仿宋"/>
                <w:highlight w:val="none"/>
              </w:rPr>
            </w:pPr>
            <w:r>
              <w:rPr>
                <w:rFonts w:ascii="仿宋" w:hAnsi="仿宋" w:eastAsia="仿宋"/>
                <w:highlight w:val="none"/>
              </w:rPr>
              <w:t>农、林、牧、渔</w:t>
            </w:r>
          </w:p>
        </w:tc>
        <w:tc>
          <w:tcPr>
            <w:tcW w:w="1447" w:type="dxa"/>
            <w:vAlign w:val="center"/>
          </w:tcPr>
          <w:p w14:paraId="70E2067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8A69BED">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C20B440">
            <w:pPr>
              <w:spacing w:line="500" w:lineRule="exact"/>
              <w:jc w:val="center"/>
              <w:rPr>
                <w:rFonts w:eastAsia="仿宋"/>
                <w:highlight w:val="none"/>
              </w:rPr>
            </w:pPr>
            <w:r>
              <w:rPr>
                <w:rFonts w:eastAsia="仿宋"/>
                <w:highlight w:val="none"/>
              </w:rPr>
              <w:t>500≤Y&lt;20000</w:t>
            </w:r>
          </w:p>
        </w:tc>
        <w:tc>
          <w:tcPr>
            <w:tcW w:w="1572" w:type="dxa"/>
            <w:vAlign w:val="center"/>
          </w:tcPr>
          <w:p w14:paraId="156E5D02">
            <w:pPr>
              <w:spacing w:line="500" w:lineRule="exact"/>
              <w:jc w:val="center"/>
              <w:rPr>
                <w:rFonts w:eastAsia="仿宋"/>
                <w:highlight w:val="none"/>
              </w:rPr>
            </w:pPr>
            <w:r>
              <w:rPr>
                <w:rFonts w:eastAsia="仿宋"/>
                <w:highlight w:val="none"/>
              </w:rPr>
              <w:t>50≤Y&lt;500</w:t>
            </w:r>
          </w:p>
        </w:tc>
        <w:tc>
          <w:tcPr>
            <w:tcW w:w="1036" w:type="dxa"/>
            <w:vAlign w:val="center"/>
          </w:tcPr>
          <w:p w14:paraId="485C39D2">
            <w:pPr>
              <w:spacing w:line="500" w:lineRule="exact"/>
              <w:jc w:val="center"/>
              <w:rPr>
                <w:rFonts w:eastAsia="仿宋"/>
                <w:highlight w:val="none"/>
              </w:rPr>
            </w:pPr>
            <w:r>
              <w:rPr>
                <w:rFonts w:eastAsia="仿宋"/>
                <w:highlight w:val="none"/>
              </w:rPr>
              <w:t>Y&lt;50</w:t>
            </w:r>
          </w:p>
        </w:tc>
      </w:tr>
      <w:tr w14:paraId="7915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6C35F40">
            <w:pPr>
              <w:spacing w:line="500" w:lineRule="exact"/>
              <w:jc w:val="center"/>
              <w:rPr>
                <w:rFonts w:ascii="仿宋" w:hAnsi="仿宋" w:eastAsia="仿宋"/>
                <w:highlight w:val="none"/>
              </w:rPr>
            </w:pPr>
            <w:r>
              <w:rPr>
                <w:rFonts w:ascii="仿宋" w:hAnsi="仿宋" w:eastAsia="仿宋"/>
                <w:highlight w:val="none"/>
              </w:rPr>
              <w:t>工业</w:t>
            </w:r>
          </w:p>
        </w:tc>
        <w:tc>
          <w:tcPr>
            <w:tcW w:w="1447" w:type="dxa"/>
            <w:vAlign w:val="center"/>
          </w:tcPr>
          <w:p w14:paraId="5B7BEF3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8C707C0">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B8409AB">
            <w:pPr>
              <w:spacing w:line="500" w:lineRule="exact"/>
              <w:jc w:val="center"/>
              <w:rPr>
                <w:rFonts w:eastAsia="仿宋"/>
                <w:highlight w:val="none"/>
              </w:rPr>
            </w:pPr>
            <w:r>
              <w:rPr>
                <w:rFonts w:eastAsia="仿宋"/>
                <w:highlight w:val="none"/>
              </w:rPr>
              <w:t>300≤X&lt;1000</w:t>
            </w:r>
          </w:p>
        </w:tc>
        <w:tc>
          <w:tcPr>
            <w:tcW w:w="1572" w:type="dxa"/>
            <w:vAlign w:val="center"/>
          </w:tcPr>
          <w:p w14:paraId="31F45225">
            <w:pPr>
              <w:spacing w:line="500" w:lineRule="exact"/>
              <w:jc w:val="center"/>
              <w:rPr>
                <w:rFonts w:eastAsia="仿宋"/>
                <w:highlight w:val="none"/>
              </w:rPr>
            </w:pPr>
            <w:r>
              <w:rPr>
                <w:rFonts w:eastAsia="仿宋"/>
                <w:highlight w:val="none"/>
              </w:rPr>
              <w:t>20≤X&lt;300</w:t>
            </w:r>
          </w:p>
        </w:tc>
        <w:tc>
          <w:tcPr>
            <w:tcW w:w="1036" w:type="dxa"/>
            <w:vAlign w:val="center"/>
          </w:tcPr>
          <w:p w14:paraId="6908B408">
            <w:pPr>
              <w:spacing w:line="500" w:lineRule="exact"/>
              <w:jc w:val="center"/>
              <w:rPr>
                <w:rFonts w:eastAsia="仿宋"/>
                <w:highlight w:val="none"/>
              </w:rPr>
            </w:pPr>
            <w:r>
              <w:rPr>
                <w:rFonts w:eastAsia="仿宋"/>
                <w:highlight w:val="none"/>
              </w:rPr>
              <w:t>X&lt;20</w:t>
            </w:r>
          </w:p>
        </w:tc>
      </w:tr>
      <w:tr w14:paraId="45892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608138A">
            <w:pPr>
              <w:spacing w:line="500" w:lineRule="exact"/>
              <w:jc w:val="center"/>
              <w:rPr>
                <w:rFonts w:ascii="仿宋" w:hAnsi="仿宋" w:eastAsia="仿宋"/>
                <w:highlight w:val="none"/>
              </w:rPr>
            </w:pPr>
          </w:p>
        </w:tc>
        <w:tc>
          <w:tcPr>
            <w:tcW w:w="1447" w:type="dxa"/>
            <w:vAlign w:val="center"/>
          </w:tcPr>
          <w:p w14:paraId="1522C1B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18042ED8">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573F326C">
            <w:pPr>
              <w:spacing w:line="500" w:lineRule="exact"/>
              <w:jc w:val="center"/>
              <w:rPr>
                <w:rFonts w:eastAsia="仿宋"/>
                <w:highlight w:val="none"/>
              </w:rPr>
            </w:pPr>
            <w:r>
              <w:rPr>
                <w:rFonts w:eastAsia="仿宋"/>
                <w:highlight w:val="none"/>
              </w:rPr>
              <w:t>2000≤Y&lt;40000</w:t>
            </w:r>
          </w:p>
        </w:tc>
        <w:tc>
          <w:tcPr>
            <w:tcW w:w="1572" w:type="dxa"/>
            <w:vAlign w:val="center"/>
          </w:tcPr>
          <w:p w14:paraId="7A387789">
            <w:pPr>
              <w:spacing w:line="500" w:lineRule="exact"/>
              <w:jc w:val="center"/>
              <w:rPr>
                <w:rFonts w:eastAsia="仿宋"/>
                <w:highlight w:val="none"/>
              </w:rPr>
            </w:pPr>
            <w:r>
              <w:rPr>
                <w:rFonts w:eastAsia="仿宋"/>
                <w:highlight w:val="none"/>
              </w:rPr>
              <w:t>300≤Y&lt;2000</w:t>
            </w:r>
          </w:p>
        </w:tc>
        <w:tc>
          <w:tcPr>
            <w:tcW w:w="1036" w:type="dxa"/>
            <w:vAlign w:val="center"/>
          </w:tcPr>
          <w:p w14:paraId="3E2D7C23">
            <w:pPr>
              <w:spacing w:line="500" w:lineRule="exact"/>
              <w:jc w:val="center"/>
              <w:rPr>
                <w:rFonts w:eastAsia="仿宋"/>
                <w:highlight w:val="none"/>
              </w:rPr>
            </w:pPr>
            <w:r>
              <w:rPr>
                <w:rFonts w:eastAsia="仿宋"/>
                <w:highlight w:val="none"/>
              </w:rPr>
              <w:t>Y&lt;300</w:t>
            </w:r>
          </w:p>
        </w:tc>
      </w:tr>
      <w:tr w14:paraId="534F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EA518EB">
            <w:pPr>
              <w:spacing w:line="500" w:lineRule="exact"/>
              <w:jc w:val="center"/>
              <w:rPr>
                <w:rFonts w:ascii="仿宋" w:hAnsi="仿宋" w:eastAsia="仿宋"/>
                <w:highlight w:val="none"/>
              </w:rPr>
            </w:pPr>
            <w:r>
              <w:rPr>
                <w:rFonts w:ascii="仿宋" w:hAnsi="仿宋" w:eastAsia="仿宋"/>
                <w:highlight w:val="none"/>
              </w:rPr>
              <w:t>建筑业</w:t>
            </w:r>
          </w:p>
        </w:tc>
        <w:tc>
          <w:tcPr>
            <w:tcW w:w="1447" w:type="dxa"/>
            <w:vAlign w:val="center"/>
          </w:tcPr>
          <w:p w14:paraId="0710F47C">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AB34974">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5FA78BAD">
            <w:pPr>
              <w:spacing w:line="500" w:lineRule="exact"/>
              <w:jc w:val="center"/>
              <w:rPr>
                <w:rFonts w:eastAsia="仿宋"/>
                <w:highlight w:val="none"/>
              </w:rPr>
            </w:pPr>
            <w:r>
              <w:rPr>
                <w:rFonts w:eastAsia="仿宋"/>
                <w:highlight w:val="none"/>
              </w:rPr>
              <w:t>6000≤Y&lt;80000</w:t>
            </w:r>
          </w:p>
        </w:tc>
        <w:tc>
          <w:tcPr>
            <w:tcW w:w="1572" w:type="dxa"/>
            <w:vAlign w:val="center"/>
          </w:tcPr>
          <w:p w14:paraId="1F31AE8A">
            <w:pPr>
              <w:spacing w:line="500" w:lineRule="exact"/>
              <w:jc w:val="center"/>
              <w:rPr>
                <w:rFonts w:eastAsia="仿宋"/>
                <w:highlight w:val="none"/>
              </w:rPr>
            </w:pPr>
            <w:r>
              <w:rPr>
                <w:rFonts w:eastAsia="仿宋"/>
                <w:highlight w:val="none"/>
              </w:rPr>
              <w:t>300≤Y&lt;6000</w:t>
            </w:r>
          </w:p>
        </w:tc>
        <w:tc>
          <w:tcPr>
            <w:tcW w:w="1036" w:type="dxa"/>
            <w:vAlign w:val="center"/>
          </w:tcPr>
          <w:p w14:paraId="3C3B6C46">
            <w:pPr>
              <w:spacing w:line="500" w:lineRule="exact"/>
              <w:jc w:val="center"/>
              <w:rPr>
                <w:rFonts w:eastAsia="仿宋"/>
                <w:highlight w:val="none"/>
              </w:rPr>
            </w:pPr>
            <w:r>
              <w:rPr>
                <w:rFonts w:eastAsia="仿宋"/>
                <w:highlight w:val="none"/>
              </w:rPr>
              <w:t>Y&lt;300</w:t>
            </w:r>
          </w:p>
        </w:tc>
      </w:tr>
      <w:tr w14:paraId="25E13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BDCFB5A">
            <w:pPr>
              <w:spacing w:line="500" w:lineRule="exact"/>
              <w:jc w:val="center"/>
              <w:rPr>
                <w:rFonts w:ascii="仿宋" w:hAnsi="仿宋" w:eastAsia="仿宋"/>
                <w:highlight w:val="none"/>
              </w:rPr>
            </w:pPr>
          </w:p>
        </w:tc>
        <w:tc>
          <w:tcPr>
            <w:tcW w:w="1447" w:type="dxa"/>
            <w:vAlign w:val="center"/>
          </w:tcPr>
          <w:p w14:paraId="464D1DB2">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5E22CE7E">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6B45BF27">
            <w:pPr>
              <w:spacing w:line="500" w:lineRule="exact"/>
              <w:jc w:val="center"/>
              <w:rPr>
                <w:rFonts w:eastAsia="仿宋"/>
                <w:highlight w:val="none"/>
              </w:rPr>
            </w:pPr>
            <w:r>
              <w:rPr>
                <w:rFonts w:eastAsia="仿宋"/>
                <w:highlight w:val="none"/>
              </w:rPr>
              <w:t>5000≤Z &lt;80000</w:t>
            </w:r>
          </w:p>
        </w:tc>
        <w:tc>
          <w:tcPr>
            <w:tcW w:w="1572" w:type="dxa"/>
            <w:vAlign w:val="center"/>
          </w:tcPr>
          <w:p w14:paraId="33ABDF28">
            <w:pPr>
              <w:spacing w:line="500" w:lineRule="exact"/>
              <w:jc w:val="center"/>
              <w:rPr>
                <w:rFonts w:eastAsia="仿宋"/>
                <w:highlight w:val="none"/>
              </w:rPr>
            </w:pPr>
            <w:r>
              <w:rPr>
                <w:rFonts w:eastAsia="仿宋"/>
                <w:highlight w:val="none"/>
              </w:rPr>
              <w:t>300≤Z &lt;5000</w:t>
            </w:r>
          </w:p>
        </w:tc>
        <w:tc>
          <w:tcPr>
            <w:tcW w:w="1036" w:type="dxa"/>
            <w:vAlign w:val="center"/>
          </w:tcPr>
          <w:p w14:paraId="0D796BA7">
            <w:pPr>
              <w:spacing w:line="500" w:lineRule="exact"/>
              <w:jc w:val="center"/>
              <w:rPr>
                <w:rFonts w:eastAsia="仿宋"/>
                <w:highlight w:val="none"/>
              </w:rPr>
            </w:pPr>
            <w:r>
              <w:rPr>
                <w:rFonts w:eastAsia="仿宋"/>
                <w:highlight w:val="none"/>
              </w:rPr>
              <w:t>Z&lt;300</w:t>
            </w:r>
          </w:p>
        </w:tc>
      </w:tr>
      <w:tr w14:paraId="5F5F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1DD24C3">
            <w:pPr>
              <w:spacing w:line="500" w:lineRule="exact"/>
              <w:jc w:val="center"/>
              <w:rPr>
                <w:rFonts w:ascii="仿宋" w:hAnsi="仿宋" w:eastAsia="仿宋"/>
                <w:highlight w:val="none"/>
              </w:rPr>
            </w:pPr>
            <w:r>
              <w:rPr>
                <w:rFonts w:ascii="仿宋" w:hAnsi="仿宋" w:eastAsia="仿宋"/>
                <w:highlight w:val="none"/>
              </w:rPr>
              <w:t>批发业</w:t>
            </w:r>
          </w:p>
        </w:tc>
        <w:tc>
          <w:tcPr>
            <w:tcW w:w="1447" w:type="dxa"/>
            <w:vAlign w:val="center"/>
          </w:tcPr>
          <w:p w14:paraId="185767CF">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5736565A">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4AE4DBAA">
            <w:pPr>
              <w:spacing w:line="500" w:lineRule="exact"/>
              <w:jc w:val="center"/>
              <w:rPr>
                <w:rFonts w:eastAsia="仿宋"/>
                <w:highlight w:val="none"/>
              </w:rPr>
            </w:pPr>
            <w:r>
              <w:rPr>
                <w:rFonts w:eastAsia="仿宋"/>
                <w:highlight w:val="none"/>
              </w:rPr>
              <w:t>20≤X&lt;200</w:t>
            </w:r>
          </w:p>
        </w:tc>
        <w:tc>
          <w:tcPr>
            <w:tcW w:w="1572" w:type="dxa"/>
            <w:vAlign w:val="center"/>
          </w:tcPr>
          <w:p w14:paraId="67EDCAE9">
            <w:pPr>
              <w:spacing w:line="500" w:lineRule="exact"/>
              <w:jc w:val="center"/>
              <w:rPr>
                <w:rFonts w:eastAsia="仿宋"/>
                <w:highlight w:val="none"/>
              </w:rPr>
            </w:pPr>
            <w:r>
              <w:rPr>
                <w:rFonts w:eastAsia="仿宋"/>
                <w:highlight w:val="none"/>
              </w:rPr>
              <w:t>5≤X&lt;20</w:t>
            </w:r>
          </w:p>
        </w:tc>
        <w:tc>
          <w:tcPr>
            <w:tcW w:w="1036" w:type="dxa"/>
            <w:vAlign w:val="center"/>
          </w:tcPr>
          <w:p w14:paraId="49842992">
            <w:pPr>
              <w:spacing w:line="500" w:lineRule="exact"/>
              <w:jc w:val="center"/>
              <w:rPr>
                <w:rFonts w:eastAsia="仿宋"/>
                <w:highlight w:val="none"/>
              </w:rPr>
            </w:pPr>
            <w:r>
              <w:rPr>
                <w:rFonts w:eastAsia="仿宋"/>
                <w:highlight w:val="none"/>
              </w:rPr>
              <w:t>X&lt;5</w:t>
            </w:r>
          </w:p>
        </w:tc>
      </w:tr>
      <w:tr w14:paraId="4C9B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7D6F600">
            <w:pPr>
              <w:spacing w:line="500" w:lineRule="exact"/>
              <w:jc w:val="center"/>
              <w:rPr>
                <w:rFonts w:ascii="仿宋" w:hAnsi="仿宋" w:eastAsia="仿宋"/>
                <w:highlight w:val="none"/>
              </w:rPr>
            </w:pPr>
          </w:p>
        </w:tc>
        <w:tc>
          <w:tcPr>
            <w:tcW w:w="1447" w:type="dxa"/>
            <w:vAlign w:val="center"/>
          </w:tcPr>
          <w:p w14:paraId="35443C38">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B0B5843">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C7D2488">
            <w:pPr>
              <w:spacing w:line="500" w:lineRule="exact"/>
              <w:jc w:val="center"/>
              <w:rPr>
                <w:rFonts w:eastAsia="仿宋"/>
                <w:highlight w:val="none"/>
              </w:rPr>
            </w:pPr>
            <w:r>
              <w:rPr>
                <w:rFonts w:eastAsia="仿宋"/>
                <w:highlight w:val="none"/>
              </w:rPr>
              <w:t>5000≤Y&lt;50000</w:t>
            </w:r>
          </w:p>
        </w:tc>
        <w:tc>
          <w:tcPr>
            <w:tcW w:w="1572" w:type="dxa"/>
            <w:vAlign w:val="center"/>
          </w:tcPr>
          <w:p w14:paraId="22DE4E8B">
            <w:pPr>
              <w:spacing w:line="500" w:lineRule="exact"/>
              <w:jc w:val="center"/>
              <w:rPr>
                <w:rFonts w:eastAsia="仿宋"/>
                <w:highlight w:val="none"/>
              </w:rPr>
            </w:pPr>
            <w:r>
              <w:rPr>
                <w:rFonts w:eastAsia="仿宋"/>
                <w:highlight w:val="none"/>
              </w:rPr>
              <w:t>1000≤Y&lt;5000</w:t>
            </w:r>
          </w:p>
        </w:tc>
        <w:tc>
          <w:tcPr>
            <w:tcW w:w="1036" w:type="dxa"/>
            <w:vAlign w:val="center"/>
          </w:tcPr>
          <w:p w14:paraId="75625238">
            <w:pPr>
              <w:spacing w:line="500" w:lineRule="exact"/>
              <w:jc w:val="center"/>
              <w:rPr>
                <w:rFonts w:eastAsia="仿宋"/>
                <w:highlight w:val="none"/>
              </w:rPr>
            </w:pPr>
            <w:r>
              <w:rPr>
                <w:rFonts w:eastAsia="仿宋"/>
                <w:highlight w:val="none"/>
              </w:rPr>
              <w:t>Y&lt;1000</w:t>
            </w:r>
          </w:p>
        </w:tc>
      </w:tr>
      <w:tr w14:paraId="651E4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7F9327A">
            <w:pPr>
              <w:spacing w:line="500" w:lineRule="exact"/>
              <w:jc w:val="center"/>
              <w:rPr>
                <w:rFonts w:ascii="仿宋" w:hAnsi="仿宋" w:eastAsia="仿宋"/>
                <w:highlight w:val="none"/>
              </w:rPr>
            </w:pPr>
            <w:r>
              <w:rPr>
                <w:rFonts w:hint="eastAsia" w:ascii="仿宋" w:hAnsi="仿宋" w:eastAsia="仿宋"/>
                <w:highlight w:val="none"/>
              </w:rPr>
              <w:t>零售业</w:t>
            </w:r>
          </w:p>
        </w:tc>
        <w:tc>
          <w:tcPr>
            <w:tcW w:w="1447" w:type="dxa"/>
            <w:vAlign w:val="center"/>
          </w:tcPr>
          <w:p w14:paraId="53D3C9BC">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322C2D4D">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481CB829">
            <w:pPr>
              <w:spacing w:line="500" w:lineRule="exact"/>
              <w:jc w:val="center"/>
              <w:rPr>
                <w:rFonts w:eastAsia="仿宋"/>
                <w:highlight w:val="none"/>
              </w:rPr>
            </w:pPr>
            <w:r>
              <w:rPr>
                <w:rFonts w:eastAsia="仿宋"/>
                <w:highlight w:val="none"/>
              </w:rPr>
              <w:t>50≤X&lt;300</w:t>
            </w:r>
          </w:p>
        </w:tc>
        <w:tc>
          <w:tcPr>
            <w:tcW w:w="1572" w:type="dxa"/>
            <w:vAlign w:val="center"/>
          </w:tcPr>
          <w:p w14:paraId="6FAD054F">
            <w:pPr>
              <w:spacing w:line="500" w:lineRule="exact"/>
              <w:jc w:val="center"/>
              <w:rPr>
                <w:rFonts w:eastAsia="仿宋"/>
                <w:highlight w:val="none"/>
              </w:rPr>
            </w:pPr>
            <w:r>
              <w:rPr>
                <w:rFonts w:eastAsia="仿宋"/>
                <w:highlight w:val="none"/>
              </w:rPr>
              <w:t>10≤X&lt;50</w:t>
            </w:r>
          </w:p>
        </w:tc>
        <w:tc>
          <w:tcPr>
            <w:tcW w:w="1036" w:type="dxa"/>
            <w:vAlign w:val="center"/>
          </w:tcPr>
          <w:p w14:paraId="0B72A414">
            <w:pPr>
              <w:spacing w:line="500" w:lineRule="exact"/>
              <w:jc w:val="center"/>
              <w:rPr>
                <w:rFonts w:eastAsia="仿宋"/>
                <w:highlight w:val="none"/>
              </w:rPr>
            </w:pPr>
            <w:r>
              <w:rPr>
                <w:rFonts w:eastAsia="仿宋"/>
                <w:highlight w:val="none"/>
              </w:rPr>
              <w:t>X&lt;10</w:t>
            </w:r>
          </w:p>
        </w:tc>
      </w:tr>
      <w:tr w14:paraId="0116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C1BE6D0">
            <w:pPr>
              <w:spacing w:line="500" w:lineRule="exact"/>
              <w:jc w:val="center"/>
              <w:rPr>
                <w:rFonts w:ascii="仿宋" w:hAnsi="仿宋" w:eastAsia="仿宋"/>
                <w:highlight w:val="none"/>
              </w:rPr>
            </w:pPr>
          </w:p>
        </w:tc>
        <w:tc>
          <w:tcPr>
            <w:tcW w:w="1447" w:type="dxa"/>
            <w:vAlign w:val="center"/>
          </w:tcPr>
          <w:p w14:paraId="2BA1625F">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3220C53C">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37F32892">
            <w:pPr>
              <w:spacing w:line="500" w:lineRule="exact"/>
              <w:jc w:val="center"/>
              <w:rPr>
                <w:rFonts w:eastAsia="仿宋"/>
                <w:highlight w:val="none"/>
              </w:rPr>
            </w:pPr>
            <w:r>
              <w:rPr>
                <w:rFonts w:eastAsia="仿宋"/>
                <w:highlight w:val="none"/>
              </w:rPr>
              <w:t>500≤Y&lt;20000</w:t>
            </w:r>
          </w:p>
        </w:tc>
        <w:tc>
          <w:tcPr>
            <w:tcW w:w="1572" w:type="dxa"/>
            <w:vAlign w:val="center"/>
          </w:tcPr>
          <w:p w14:paraId="23ADFEC3">
            <w:pPr>
              <w:spacing w:line="500" w:lineRule="exact"/>
              <w:jc w:val="center"/>
              <w:rPr>
                <w:rFonts w:eastAsia="仿宋"/>
                <w:highlight w:val="none"/>
              </w:rPr>
            </w:pPr>
            <w:r>
              <w:rPr>
                <w:rFonts w:eastAsia="仿宋"/>
                <w:highlight w:val="none"/>
              </w:rPr>
              <w:t>100≤Y&lt;500</w:t>
            </w:r>
          </w:p>
        </w:tc>
        <w:tc>
          <w:tcPr>
            <w:tcW w:w="1036" w:type="dxa"/>
            <w:vAlign w:val="center"/>
          </w:tcPr>
          <w:p w14:paraId="04B477C8">
            <w:pPr>
              <w:spacing w:line="500" w:lineRule="exact"/>
              <w:jc w:val="center"/>
              <w:rPr>
                <w:rFonts w:eastAsia="仿宋"/>
                <w:highlight w:val="none"/>
              </w:rPr>
            </w:pPr>
            <w:r>
              <w:rPr>
                <w:rFonts w:eastAsia="仿宋"/>
                <w:highlight w:val="none"/>
              </w:rPr>
              <w:t>Y&lt;100</w:t>
            </w:r>
          </w:p>
        </w:tc>
      </w:tr>
      <w:tr w14:paraId="0B06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A0C5B29">
            <w:pPr>
              <w:spacing w:line="500" w:lineRule="exact"/>
              <w:jc w:val="center"/>
              <w:rPr>
                <w:rFonts w:ascii="仿宋" w:hAnsi="仿宋" w:eastAsia="仿宋"/>
                <w:highlight w:val="none"/>
              </w:rPr>
            </w:pPr>
            <w:r>
              <w:rPr>
                <w:rFonts w:hint="eastAsia" w:ascii="仿宋" w:hAnsi="仿宋" w:eastAsia="仿宋"/>
                <w:highlight w:val="none"/>
              </w:rPr>
              <w:t>交通</w:t>
            </w:r>
            <w:r>
              <w:rPr>
                <w:rFonts w:ascii="仿宋" w:hAnsi="仿宋" w:eastAsia="仿宋"/>
                <w:highlight w:val="none"/>
              </w:rPr>
              <w:t>运输业</w:t>
            </w:r>
          </w:p>
        </w:tc>
        <w:tc>
          <w:tcPr>
            <w:tcW w:w="1447" w:type="dxa"/>
            <w:vAlign w:val="center"/>
          </w:tcPr>
          <w:p w14:paraId="40F606B3">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76FF2B9">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AB4B347">
            <w:pPr>
              <w:spacing w:line="500" w:lineRule="exact"/>
              <w:jc w:val="center"/>
              <w:rPr>
                <w:rFonts w:eastAsia="仿宋"/>
                <w:highlight w:val="none"/>
              </w:rPr>
            </w:pPr>
            <w:r>
              <w:rPr>
                <w:rFonts w:eastAsia="仿宋"/>
                <w:highlight w:val="none"/>
              </w:rPr>
              <w:t>300≤X&lt;1000</w:t>
            </w:r>
          </w:p>
        </w:tc>
        <w:tc>
          <w:tcPr>
            <w:tcW w:w="1572" w:type="dxa"/>
            <w:vAlign w:val="center"/>
          </w:tcPr>
          <w:p w14:paraId="560CC5B1">
            <w:pPr>
              <w:spacing w:line="500" w:lineRule="exact"/>
              <w:jc w:val="center"/>
              <w:rPr>
                <w:rFonts w:eastAsia="仿宋"/>
                <w:highlight w:val="none"/>
              </w:rPr>
            </w:pPr>
            <w:r>
              <w:rPr>
                <w:rFonts w:eastAsia="仿宋"/>
                <w:highlight w:val="none"/>
              </w:rPr>
              <w:t>20≤X&lt;300</w:t>
            </w:r>
          </w:p>
        </w:tc>
        <w:tc>
          <w:tcPr>
            <w:tcW w:w="1036" w:type="dxa"/>
            <w:vAlign w:val="center"/>
          </w:tcPr>
          <w:p w14:paraId="2E51522C">
            <w:pPr>
              <w:spacing w:line="500" w:lineRule="exact"/>
              <w:jc w:val="center"/>
              <w:rPr>
                <w:rFonts w:eastAsia="仿宋"/>
                <w:highlight w:val="none"/>
              </w:rPr>
            </w:pPr>
            <w:r>
              <w:rPr>
                <w:rFonts w:eastAsia="仿宋"/>
                <w:highlight w:val="none"/>
              </w:rPr>
              <w:t>X&lt;20</w:t>
            </w:r>
          </w:p>
        </w:tc>
      </w:tr>
      <w:tr w14:paraId="53E3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E76C4BD">
            <w:pPr>
              <w:spacing w:line="500" w:lineRule="exact"/>
              <w:jc w:val="center"/>
              <w:rPr>
                <w:rFonts w:ascii="仿宋" w:hAnsi="仿宋" w:eastAsia="仿宋"/>
                <w:highlight w:val="none"/>
              </w:rPr>
            </w:pPr>
          </w:p>
        </w:tc>
        <w:tc>
          <w:tcPr>
            <w:tcW w:w="1447" w:type="dxa"/>
            <w:vAlign w:val="center"/>
          </w:tcPr>
          <w:p w14:paraId="1BC88F62">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2684A485">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1C24463F">
            <w:pPr>
              <w:spacing w:line="500" w:lineRule="exact"/>
              <w:jc w:val="center"/>
              <w:rPr>
                <w:rFonts w:eastAsia="仿宋"/>
                <w:highlight w:val="none"/>
              </w:rPr>
            </w:pPr>
            <w:r>
              <w:rPr>
                <w:rFonts w:eastAsia="仿宋"/>
                <w:highlight w:val="none"/>
              </w:rPr>
              <w:t>3000≤Y&lt;30000</w:t>
            </w:r>
          </w:p>
        </w:tc>
        <w:tc>
          <w:tcPr>
            <w:tcW w:w="1572" w:type="dxa"/>
            <w:vAlign w:val="center"/>
          </w:tcPr>
          <w:p w14:paraId="1207E823">
            <w:pPr>
              <w:spacing w:line="500" w:lineRule="exact"/>
              <w:jc w:val="center"/>
              <w:rPr>
                <w:rFonts w:eastAsia="仿宋"/>
                <w:highlight w:val="none"/>
              </w:rPr>
            </w:pPr>
            <w:r>
              <w:rPr>
                <w:rFonts w:eastAsia="仿宋"/>
                <w:highlight w:val="none"/>
              </w:rPr>
              <w:t>200≤Y&lt;3000</w:t>
            </w:r>
          </w:p>
        </w:tc>
        <w:tc>
          <w:tcPr>
            <w:tcW w:w="1036" w:type="dxa"/>
            <w:vAlign w:val="center"/>
          </w:tcPr>
          <w:p w14:paraId="75D171E8">
            <w:pPr>
              <w:spacing w:line="500" w:lineRule="exact"/>
              <w:jc w:val="center"/>
              <w:rPr>
                <w:rFonts w:eastAsia="仿宋"/>
                <w:highlight w:val="none"/>
              </w:rPr>
            </w:pPr>
            <w:r>
              <w:rPr>
                <w:rFonts w:eastAsia="仿宋"/>
                <w:highlight w:val="none"/>
              </w:rPr>
              <w:t>Y&lt;200</w:t>
            </w:r>
          </w:p>
        </w:tc>
      </w:tr>
      <w:tr w14:paraId="7A0B9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845D6EE">
            <w:pPr>
              <w:spacing w:line="500" w:lineRule="exact"/>
              <w:jc w:val="center"/>
              <w:rPr>
                <w:rFonts w:ascii="仿宋" w:hAnsi="仿宋" w:eastAsia="仿宋"/>
                <w:highlight w:val="none"/>
              </w:rPr>
            </w:pPr>
            <w:r>
              <w:rPr>
                <w:rFonts w:hint="eastAsia" w:ascii="仿宋" w:hAnsi="仿宋" w:eastAsia="仿宋"/>
                <w:highlight w:val="none"/>
              </w:rPr>
              <w:t>仓储</w:t>
            </w:r>
            <w:r>
              <w:rPr>
                <w:rFonts w:ascii="仿宋" w:hAnsi="仿宋" w:eastAsia="仿宋"/>
                <w:highlight w:val="none"/>
              </w:rPr>
              <w:t>业</w:t>
            </w:r>
          </w:p>
        </w:tc>
        <w:tc>
          <w:tcPr>
            <w:tcW w:w="1447" w:type="dxa"/>
            <w:vAlign w:val="center"/>
          </w:tcPr>
          <w:p w14:paraId="10644010">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3F6F44E">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730CFA4C">
            <w:pPr>
              <w:spacing w:line="500" w:lineRule="exact"/>
              <w:jc w:val="center"/>
              <w:rPr>
                <w:rFonts w:eastAsia="仿宋"/>
                <w:highlight w:val="none"/>
              </w:rPr>
            </w:pPr>
            <w:r>
              <w:rPr>
                <w:rFonts w:eastAsia="仿宋"/>
                <w:highlight w:val="none"/>
              </w:rPr>
              <w:t>100≤X&lt;200</w:t>
            </w:r>
          </w:p>
        </w:tc>
        <w:tc>
          <w:tcPr>
            <w:tcW w:w="1572" w:type="dxa"/>
            <w:vAlign w:val="center"/>
          </w:tcPr>
          <w:p w14:paraId="57CC964E">
            <w:pPr>
              <w:spacing w:line="500" w:lineRule="exact"/>
              <w:jc w:val="center"/>
              <w:rPr>
                <w:rFonts w:eastAsia="仿宋"/>
                <w:highlight w:val="none"/>
              </w:rPr>
            </w:pPr>
            <w:r>
              <w:rPr>
                <w:rFonts w:eastAsia="仿宋"/>
                <w:highlight w:val="none"/>
              </w:rPr>
              <w:t>20≤X&lt;100</w:t>
            </w:r>
          </w:p>
        </w:tc>
        <w:tc>
          <w:tcPr>
            <w:tcW w:w="1036" w:type="dxa"/>
            <w:vAlign w:val="center"/>
          </w:tcPr>
          <w:p w14:paraId="026F0E3E">
            <w:pPr>
              <w:spacing w:line="500" w:lineRule="exact"/>
              <w:jc w:val="center"/>
              <w:rPr>
                <w:rFonts w:eastAsia="仿宋"/>
                <w:highlight w:val="none"/>
              </w:rPr>
            </w:pPr>
            <w:r>
              <w:rPr>
                <w:rFonts w:eastAsia="仿宋"/>
                <w:highlight w:val="none"/>
              </w:rPr>
              <w:t>X&lt;20</w:t>
            </w:r>
          </w:p>
        </w:tc>
      </w:tr>
      <w:tr w14:paraId="495F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5279A04">
            <w:pPr>
              <w:spacing w:line="500" w:lineRule="exact"/>
              <w:jc w:val="center"/>
              <w:rPr>
                <w:rFonts w:ascii="仿宋" w:hAnsi="仿宋" w:eastAsia="仿宋"/>
                <w:highlight w:val="none"/>
              </w:rPr>
            </w:pPr>
          </w:p>
        </w:tc>
        <w:tc>
          <w:tcPr>
            <w:tcW w:w="1447" w:type="dxa"/>
            <w:vAlign w:val="center"/>
          </w:tcPr>
          <w:p w14:paraId="4C10D05A">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187C879">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58CF2C3">
            <w:pPr>
              <w:spacing w:line="500" w:lineRule="exact"/>
              <w:jc w:val="center"/>
              <w:rPr>
                <w:rFonts w:eastAsia="仿宋"/>
                <w:highlight w:val="none"/>
              </w:rPr>
            </w:pPr>
            <w:r>
              <w:rPr>
                <w:rFonts w:eastAsia="仿宋"/>
                <w:highlight w:val="none"/>
              </w:rPr>
              <w:t>1000≤Y&lt;30000</w:t>
            </w:r>
          </w:p>
        </w:tc>
        <w:tc>
          <w:tcPr>
            <w:tcW w:w="1572" w:type="dxa"/>
            <w:vAlign w:val="center"/>
          </w:tcPr>
          <w:p w14:paraId="67C5E2DF">
            <w:pPr>
              <w:spacing w:line="500" w:lineRule="exact"/>
              <w:jc w:val="center"/>
              <w:rPr>
                <w:rFonts w:eastAsia="仿宋"/>
                <w:highlight w:val="none"/>
              </w:rPr>
            </w:pPr>
            <w:r>
              <w:rPr>
                <w:rFonts w:eastAsia="仿宋"/>
                <w:highlight w:val="none"/>
              </w:rPr>
              <w:t>100≤Y&lt;1000</w:t>
            </w:r>
          </w:p>
        </w:tc>
        <w:tc>
          <w:tcPr>
            <w:tcW w:w="1036" w:type="dxa"/>
            <w:vAlign w:val="center"/>
          </w:tcPr>
          <w:p w14:paraId="552E8E3E">
            <w:pPr>
              <w:spacing w:line="500" w:lineRule="exact"/>
              <w:jc w:val="center"/>
              <w:rPr>
                <w:rFonts w:eastAsia="仿宋"/>
                <w:highlight w:val="none"/>
              </w:rPr>
            </w:pPr>
            <w:r>
              <w:rPr>
                <w:rFonts w:eastAsia="仿宋"/>
                <w:highlight w:val="none"/>
              </w:rPr>
              <w:t>Y&lt;100</w:t>
            </w:r>
          </w:p>
        </w:tc>
      </w:tr>
      <w:tr w14:paraId="13732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F27F998">
            <w:pPr>
              <w:spacing w:line="500" w:lineRule="exact"/>
              <w:jc w:val="center"/>
              <w:rPr>
                <w:rFonts w:ascii="仿宋" w:hAnsi="仿宋" w:eastAsia="仿宋"/>
                <w:highlight w:val="none"/>
              </w:rPr>
            </w:pPr>
            <w:r>
              <w:rPr>
                <w:rFonts w:hint="eastAsia" w:ascii="仿宋" w:hAnsi="仿宋" w:eastAsia="仿宋"/>
                <w:highlight w:val="none"/>
              </w:rPr>
              <w:t>邮</w:t>
            </w:r>
            <w:r>
              <w:rPr>
                <w:rFonts w:ascii="仿宋" w:hAnsi="仿宋" w:eastAsia="仿宋"/>
                <w:highlight w:val="none"/>
              </w:rPr>
              <w:t>政业</w:t>
            </w:r>
          </w:p>
        </w:tc>
        <w:tc>
          <w:tcPr>
            <w:tcW w:w="1447" w:type="dxa"/>
            <w:vAlign w:val="center"/>
          </w:tcPr>
          <w:p w14:paraId="3CA12157">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67F6F21">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1D92C44C">
            <w:pPr>
              <w:spacing w:line="500" w:lineRule="exact"/>
              <w:jc w:val="center"/>
              <w:rPr>
                <w:rFonts w:eastAsia="仿宋"/>
                <w:highlight w:val="none"/>
              </w:rPr>
            </w:pPr>
            <w:r>
              <w:rPr>
                <w:rFonts w:eastAsia="仿宋"/>
                <w:highlight w:val="none"/>
              </w:rPr>
              <w:t>300≤X&lt;1000</w:t>
            </w:r>
          </w:p>
        </w:tc>
        <w:tc>
          <w:tcPr>
            <w:tcW w:w="1572" w:type="dxa"/>
            <w:vAlign w:val="center"/>
          </w:tcPr>
          <w:p w14:paraId="33D7CF4D">
            <w:pPr>
              <w:spacing w:line="500" w:lineRule="exact"/>
              <w:jc w:val="center"/>
              <w:rPr>
                <w:rFonts w:eastAsia="仿宋"/>
                <w:highlight w:val="none"/>
              </w:rPr>
            </w:pPr>
            <w:r>
              <w:rPr>
                <w:rFonts w:eastAsia="仿宋"/>
                <w:highlight w:val="none"/>
              </w:rPr>
              <w:t>20≤X&lt;300</w:t>
            </w:r>
          </w:p>
        </w:tc>
        <w:tc>
          <w:tcPr>
            <w:tcW w:w="1036" w:type="dxa"/>
            <w:vAlign w:val="center"/>
          </w:tcPr>
          <w:p w14:paraId="5E7E8C6D">
            <w:pPr>
              <w:spacing w:line="500" w:lineRule="exact"/>
              <w:jc w:val="center"/>
              <w:rPr>
                <w:rFonts w:eastAsia="仿宋"/>
                <w:highlight w:val="none"/>
              </w:rPr>
            </w:pPr>
            <w:r>
              <w:rPr>
                <w:rFonts w:eastAsia="仿宋"/>
                <w:highlight w:val="none"/>
              </w:rPr>
              <w:t>X&lt;20</w:t>
            </w:r>
          </w:p>
        </w:tc>
      </w:tr>
      <w:tr w14:paraId="67717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70E317B">
            <w:pPr>
              <w:spacing w:line="500" w:lineRule="exact"/>
              <w:jc w:val="center"/>
              <w:rPr>
                <w:rFonts w:ascii="仿宋" w:hAnsi="仿宋" w:eastAsia="仿宋"/>
                <w:highlight w:val="none"/>
              </w:rPr>
            </w:pPr>
          </w:p>
        </w:tc>
        <w:tc>
          <w:tcPr>
            <w:tcW w:w="1447" w:type="dxa"/>
            <w:vAlign w:val="center"/>
          </w:tcPr>
          <w:p w14:paraId="2F39D8E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62D3F3EE">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0B7E0B66">
            <w:pPr>
              <w:spacing w:line="500" w:lineRule="exact"/>
              <w:jc w:val="center"/>
              <w:rPr>
                <w:rFonts w:eastAsia="仿宋"/>
                <w:highlight w:val="none"/>
              </w:rPr>
            </w:pPr>
            <w:r>
              <w:rPr>
                <w:rFonts w:eastAsia="仿宋"/>
                <w:highlight w:val="none"/>
              </w:rPr>
              <w:t>2000≤Y&lt;30000</w:t>
            </w:r>
          </w:p>
        </w:tc>
        <w:tc>
          <w:tcPr>
            <w:tcW w:w="1572" w:type="dxa"/>
            <w:vAlign w:val="center"/>
          </w:tcPr>
          <w:p w14:paraId="543E63E9">
            <w:pPr>
              <w:spacing w:line="500" w:lineRule="exact"/>
              <w:jc w:val="center"/>
              <w:rPr>
                <w:rFonts w:eastAsia="仿宋"/>
                <w:highlight w:val="none"/>
              </w:rPr>
            </w:pPr>
            <w:r>
              <w:rPr>
                <w:rFonts w:eastAsia="仿宋"/>
                <w:highlight w:val="none"/>
              </w:rPr>
              <w:t>100≤Y&lt;2000</w:t>
            </w:r>
          </w:p>
        </w:tc>
        <w:tc>
          <w:tcPr>
            <w:tcW w:w="1036" w:type="dxa"/>
            <w:vAlign w:val="center"/>
          </w:tcPr>
          <w:p w14:paraId="1ACAD029">
            <w:pPr>
              <w:spacing w:line="500" w:lineRule="exact"/>
              <w:jc w:val="center"/>
              <w:rPr>
                <w:rFonts w:eastAsia="仿宋"/>
                <w:highlight w:val="none"/>
              </w:rPr>
            </w:pPr>
            <w:r>
              <w:rPr>
                <w:rFonts w:eastAsia="仿宋"/>
                <w:highlight w:val="none"/>
              </w:rPr>
              <w:t>Y&lt;100</w:t>
            </w:r>
          </w:p>
        </w:tc>
      </w:tr>
      <w:tr w14:paraId="5AE9A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5E0D6DC">
            <w:pPr>
              <w:spacing w:line="500" w:lineRule="exact"/>
              <w:jc w:val="center"/>
              <w:rPr>
                <w:rFonts w:ascii="仿宋" w:hAnsi="仿宋" w:eastAsia="仿宋"/>
                <w:highlight w:val="none"/>
              </w:rPr>
            </w:pPr>
            <w:r>
              <w:rPr>
                <w:rFonts w:hint="eastAsia" w:ascii="仿宋" w:hAnsi="仿宋" w:eastAsia="仿宋"/>
                <w:highlight w:val="none"/>
              </w:rPr>
              <w:t>住</w:t>
            </w:r>
            <w:r>
              <w:rPr>
                <w:rFonts w:ascii="仿宋" w:hAnsi="仿宋" w:eastAsia="仿宋"/>
                <w:highlight w:val="none"/>
              </w:rPr>
              <w:t>宿业</w:t>
            </w:r>
          </w:p>
        </w:tc>
        <w:tc>
          <w:tcPr>
            <w:tcW w:w="1447" w:type="dxa"/>
            <w:vAlign w:val="center"/>
          </w:tcPr>
          <w:p w14:paraId="69B00DA1">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4469E6C5">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7E0D7628">
            <w:pPr>
              <w:spacing w:line="500" w:lineRule="exact"/>
              <w:jc w:val="center"/>
              <w:rPr>
                <w:rFonts w:eastAsia="仿宋"/>
                <w:highlight w:val="none"/>
              </w:rPr>
            </w:pPr>
            <w:r>
              <w:rPr>
                <w:rFonts w:eastAsia="仿宋"/>
                <w:highlight w:val="none"/>
              </w:rPr>
              <w:t>100≤X&lt;300</w:t>
            </w:r>
          </w:p>
        </w:tc>
        <w:tc>
          <w:tcPr>
            <w:tcW w:w="1572" w:type="dxa"/>
            <w:vAlign w:val="center"/>
          </w:tcPr>
          <w:p w14:paraId="1AFB67F7">
            <w:pPr>
              <w:spacing w:line="500" w:lineRule="exact"/>
              <w:jc w:val="center"/>
              <w:rPr>
                <w:rFonts w:eastAsia="仿宋"/>
                <w:highlight w:val="none"/>
              </w:rPr>
            </w:pPr>
            <w:r>
              <w:rPr>
                <w:rFonts w:eastAsia="仿宋"/>
                <w:highlight w:val="none"/>
              </w:rPr>
              <w:t>10≤X&lt;100</w:t>
            </w:r>
          </w:p>
        </w:tc>
        <w:tc>
          <w:tcPr>
            <w:tcW w:w="1036" w:type="dxa"/>
            <w:vAlign w:val="center"/>
          </w:tcPr>
          <w:p w14:paraId="7C5FB16E">
            <w:pPr>
              <w:spacing w:line="500" w:lineRule="exact"/>
              <w:jc w:val="center"/>
              <w:rPr>
                <w:rFonts w:eastAsia="仿宋"/>
                <w:highlight w:val="none"/>
              </w:rPr>
            </w:pPr>
            <w:r>
              <w:rPr>
                <w:rFonts w:eastAsia="仿宋"/>
                <w:highlight w:val="none"/>
              </w:rPr>
              <w:t>X&lt;10</w:t>
            </w:r>
          </w:p>
        </w:tc>
      </w:tr>
      <w:tr w14:paraId="6589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0D6C741">
            <w:pPr>
              <w:spacing w:line="500" w:lineRule="exact"/>
              <w:jc w:val="center"/>
              <w:rPr>
                <w:rFonts w:ascii="仿宋" w:hAnsi="仿宋" w:eastAsia="仿宋"/>
                <w:highlight w:val="none"/>
              </w:rPr>
            </w:pPr>
          </w:p>
        </w:tc>
        <w:tc>
          <w:tcPr>
            <w:tcW w:w="1447" w:type="dxa"/>
            <w:vAlign w:val="center"/>
          </w:tcPr>
          <w:p w14:paraId="451D516C">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ED836D1">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2473560">
            <w:pPr>
              <w:spacing w:line="500" w:lineRule="exact"/>
              <w:jc w:val="center"/>
              <w:rPr>
                <w:rFonts w:eastAsia="仿宋"/>
                <w:highlight w:val="none"/>
              </w:rPr>
            </w:pPr>
            <w:r>
              <w:rPr>
                <w:rFonts w:eastAsia="仿宋"/>
                <w:highlight w:val="none"/>
              </w:rPr>
              <w:t>2000≤Y&lt;10000</w:t>
            </w:r>
          </w:p>
        </w:tc>
        <w:tc>
          <w:tcPr>
            <w:tcW w:w="1572" w:type="dxa"/>
            <w:vAlign w:val="center"/>
          </w:tcPr>
          <w:p w14:paraId="2E09B4AE">
            <w:pPr>
              <w:spacing w:line="500" w:lineRule="exact"/>
              <w:jc w:val="center"/>
              <w:rPr>
                <w:rFonts w:eastAsia="仿宋"/>
                <w:highlight w:val="none"/>
              </w:rPr>
            </w:pPr>
            <w:r>
              <w:rPr>
                <w:rFonts w:eastAsia="仿宋"/>
                <w:highlight w:val="none"/>
              </w:rPr>
              <w:t>100≤Y&lt;2000</w:t>
            </w:r>
          </w:p>
        </w:tc>
        <w:tc>
          <w:tcPr>
            <w:tcW w:w="1036" w:type="dxa"/>
            <w:vAlign w:val="center"/>
          </w:tcPr>
          <w:p w14:paraId="4010D96E">
            <w:pPr>
              <w:spacing w:line="500" w:lineRule="exact"/>
              <w:jc w:val="center"/>
              <w:rPr>
                <w:rFonts w:eastAsia="仿宋"/>
                <w:highlight w:val="none"/>
              </w:rPr>
            </w:pPr>
            <w:r>
              <w:rPr>
                <w:rFonts w:eastAsia="仿宋"/>
                <w:highlight w:val="none"/>
              </w:rPr>
              <w:t>Y&lt;100</w:t>
            </w:r>
          </w:p>
        </w:tc>
      </w:tr>
      <w:tr w14:paraId="559B7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FD4309C">
            <w:pPr>
              <w:spacing w:line="500" w:lineRule="exact"/>
              <w:jc w:val="center"/>
              <w:rPr>
                <w:rFonts w:ascii="仿宋" w:hAnsi="仿宋" w:eastAsia="仿宋"/>
                <w:highlight w:val="none"/>
              </w:rPr>
            </w:pPr>
            <w:r>
              <w:rPr>
                <w:rFonts w:hint="eastAsia" w:ascii="仿宋" w:hAnsi="仿宋" w:eastAsia="仿宋"/>
                <w:highlight w:val="none"/>
              </w:rPr>
              <w:t>餐饮</w:t>
            </w:r>
            <w:r>
              <w:rPr>
                <w:rFonts w:ascii="仿宋" w:hAnsi="仿宋" w:eastAsia="仿宋"/>
                <w:highlight w:val="none"/>
              </w:rPr>
              <w:t>业</w:t>
            </w:r>
          </w:p>
        </w:tc>
        <w:tc>
          <w:tcPr>
            <w:tcW w:w="1447" w:type="dxa"/>
            <w:vAlign w:val="center"/>
          </w:tcPr>
          <w:p w14:paraId="4EB7192D">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55885681">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A239956">
            <w:pPr>
              <w:spacing w:line="500" w:lineRule="exact"/>
              <w:jc w:val="center"/>
              <w:rPr>
                <w:rFonts w:eastAsia="仿宋"/>
                <w:highlight w:val="none"/>
              </w:rPr>
            </w:pPr>
            <w:r>
              <w:rPr>
                <w:rFonts w:eastAsia="仿宋"/>
                <w:highlight w:val="none"/>
              </w:rPr>
              <w:t>100≤X&lt;300</w:t>
            </w:r>
          </w:p>
        </w:tc>
        <w:tc>
          <w:tcPr>
            <w:tcW w:w="1572" w:type="dxa"/>
            <w:vAlign w:val="center"/>
          </w:tcPr>
          <w:p w14:paraId="58F71F5D">
            <w:pPr>
              <w:spacing w:line="500" w:lineRule="exact"/>
              <w:jc w:val="center"/>
              <w:rPr>
                <w:rFonts w:eastAsia="仿宋"/>
                <w:highlight w:val="none"/>
              </w:rPr>
            </w:pPr>
            <w:r>
              <w:rPr>
                <w:rFonts w:eastAsia="仿宋"/>
                <w:highlight w:val="none"/>
              </w:rPr>
              <w:t>10≤X&lt;100</w:t>
            </w:r>
          </w:p>
        </w:tc>
        <w:tc>
          <w:tcPr>
            <w:tcW w:w="1036" w:type="dxa"/>
            <w:vAlign w:val="center"/>
          </w:tcPr>
          <w:p w14:paraId="0FC3F235">
            <w:pPr>
              <w:spacing w:line="500" w:lineRule="exact"/>
              <w:jc w:val="center"/>
              <w:rPr>
                <w:rFonts w:eastAsia="仿宋"/>
                <w:highlight w:val="none"/>
              </w:rPr>
            </w:pPr>
            <w:r>
              <w:rPr>
                <w:rFonts w:eastAsia="仿宋"/>
                <w:highlight w:val="none"/>
              </w:rPr>
              <w:t>X&lt;10</w:t>
            </w:r>
          </w:p>
        </w:tc>
      </w:tr>
      <w:tr w14:paraId="27BE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083729D">
            <w:pPr>
              <w:spacing w:line="500" w:lineRule="exact"/>
              <w:jc w:val="center"/>
              <w:rPr>
                <w:rFonts w:ascii="仿宋" w:hAnsi="仿宋" w:eastAsia="仿宋"/>
                <w:highlight w:val="none"/>
              </w:rPr>
            </w:pPr>
          </w:p>
        </w:tc>
        <w:tc>
          <w:tcPr>
            <w:tcW w:w="1447" w:type="dxa"/>
            <w:vAlign w:val="center"/>
          </w:tcPr>
          <w:p w14:paraId="0BCABF66">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9B1B6C1">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8E46F54">
            <w:pPr>
              <w:spacing w:line="500" w:lineRule="exact"/>
              <w:jc w:val="center"/>
              <w:rPr>
                <w:rFonts w:eastAsia="仿宋"/>
                <w:highlight w:val="none"/>
              </w:rPr>
            </w:pPr>
            <w:r>
              <w:rPr>
                <w:rFonts w:eastAsia="仿宋"/>
                <w:highlight w:val="none"/>
              </w:rPr>
              <w:t>2000≤Y&lt;10000</w:t>
            </w:r>
          </w:p>
        </w:tc>
        <w:tc>
          <w:tcPr>
            <w:tcW w:w="1572" w:type="dxa"/>
            <w:vAlign w:val="center"/>
          </w:tcPr>
          <w:p w14:paraId="47115073">
            <w:pPr>
              <w:spacing w:line="500" w:lineRule="exact"/>
              <w:jc w:val="center"/>
              <w:rPr>
                <w:rFonts w:eastAsia="仿宋"/>
                <w:highlight w:val="none"/>
              </w:rPr>
            </w:pPr>
            <w:r>
              <w:rPr>
                <w:rFonts w:eastAsia="仿宋"/>
                <w:highlight w:val="none"/>
              </w:rPr>
              <w:t>100≤Y&lt;2000</w:t>
            </w:r>
          </w:p>
        </w:tc>
        <w:tc>
          <w:tcPr>
            <w:tcW w:w="1036" w:type="dxa"/>
            <w:vAlign w:val="center"/>
          </w:tcPr>
          <w:p w14:paraId="700C8159">
            <w:pPr>
              <w:spacing w:line="500" w:lineRule="exact"/>
              <w:jc w:val="center"/>
              <w:rPr>
                <w:rFonts w:eastAsia="仿宋"/>
                <w:highlight w:val="none"/>
              </w:rPr>
            </w:pPr>
            <w:r>
              <w:rPr>
                <w:rFonts w:eastAsia="仿宋"/>
                <w:highlight w:val="none"/>
              </w:rPr>
              <w:t>Y&lt;100</w:t>
            </w:r>
          </w:p>
        </w:tc>
      </w:tr>
      <w:tr w14:paraId="643B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4EF7172">
            <w:pPr>
              <w:spacing w:line="500" w:lineRule="exact"/>
              <w:jc w:val="center"/>
              <w:rPr>
                <w:rFonts w:ascii="仿宋" w:hAnsi="仿宋" w:eastAsia="仿宋"/>
                <w:highlight w:val="none"/>
              </w:rPr>
            </w:pPr>
            <w:r>
              <w:rPr>
                <w:rFonts w:hint="eastAsia" w:ascii="仿宋" w:hAnsi="仿宋" w:eastAsia="仿宋"/>
                <w:highlight w:val="none"/>
              </w:rPr>
              <w:t>信息</w:t>
            </w:r>
            <w:r>
              <w:rPr>
                <w:rFonts w:ascii="仿宋" w:hAnsi="仿宋" w:eastAsia="仿宋"/>
                <w:highlight w:val="none"/>
              </w:rPr>
              <w:t>传输业</w:t>
            </w:r>
          </w:p>
        </w:tc>
        <w:tc>
          <w:tcPr>
            <w:tcW w:w="1447" w:type="dxa"/>
            <w:vAlign w:val="center"/>
          </w:tcPr>
          <w:p w14:paraId="6EEE5D99">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1949B16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D5B2CBD">
            <w:pPr>
              <w:spacing w:line="500" w:lineRule="exact"/>
              <w:jc w:val="center"/>
              <w:rPr>
                <w:rFonts w:eastAsia="仿宋"/>
                <w:highlight w:val="none"/>
              </w:rPr>
            </w:pPr>
            <w:r>
              <w:rPr>
                <w:rFonts w:eastAsia="仿宋"/>
                <w:highlight w:val="none"/>
              </w:rPr>
              <w:t>100≤X&lt;2000</w:t>
            </w:r>
          </w:p>
        </w:tc>
        <w:tc>
          <w:tcPr>
            <w:tcW w:w="1572" w:type="dxa"/>
            <w:vAlign w:val="center"/>
          </w:tcPr>
          <w:p w14:paraId="1ADD6ED2">
            <w:pPr>
              <w:spacing w:line="500" w:lineRule="exact"/>
              <w:jc w:val="center"/>
              <w:rPr>
                <w:rFonts w:eastAsia="仿宋"/>
                <w:highlight w:val="none"/>
              </w:rPr>
            </w:pPr>
            <w:r>
              <w:rPr>
                <w:rFonts w:eastAsia="仿宋"/>
                <w:highlight w:val="none"/>
              </w:rPr>
              <w:t>10≤X&lt;100</w:t>
            </w:r>
          </w:p>
        </w:tc>
        <w:tc>
          <w:tcPr>
            <w:tcW w:w="1036" w:type="dxa"/>
            <w:vAlign w:val="center"/>
          </w:tcPr>
          <w:p w14:paraId="1E51BD4F">
            <w:pPr>
              <w:spacing w:line="500" w:lineRule="exact"/>
              <w:jc w:val="center"/>
              <w:rPr>
                <w:rFonts w:eastAsia="仿宋"/>
                <w:highlight w:val="none"/>
              </w:rPr>
            </w:pPr>
            <w:r>
              <w:rPr>
                <w:rFonts w:eastAsia="仿宋"/>
                <w:highlight w:val="none"/>
              </w:rPr>
              <w:t>X&lt;10</w:t>
            </w:r>
          </w:p>
        </w:tc>
      </w:tr>
      <w:tr w14:paraId="279A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E421144">
            <w:pPr>
              <w:spacing w:line="500" w:lineRule="exact"/>
              <w:jc w:val="center"/>
              <w:rPr>
                <w:rFonts w:ascii="仿宋" w:hAnsi="仿宋" w:eastAsia="仿宋"/>
                <w:highlight w:val="none"/>
              </w:rPr>
            </w:pPr>
          </w:p>
        </w:tc>
        <w:tc>
          <w:tcPr>
            <w:tcW w:w="1447" w:type="dxa"/>
            <w:vAlign w:val="center"/>
          </w:tcPr>
          <w:p w14:paraId="095E38B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46A9A70B">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C74CFF0">
            <w:pPr>
              <w:spacing w:line="500" w:lineRule="exact"/>
              <w:jc w:val="center"/>
              <w:rPr>
                <w:rFonts w:eastAsia="仿宋"/>
                <w:highlight w:val="none"/>
              </w:rPr>
            </w:pPr>
            <w:r>
              <w:rPr>
                <w:rFonts w:eastAsia="仿宋"/>
                <w:highlight w:val="none"/>
              </w:rPr>
              <w:t>1000≤Y&lt;100000</w:t>
            </w:r>
          </w:p>
        </w:tc>
        <w:tc>
          <w:tcPr>
            <w:tcW w:w="1572" w:type="dxa"/>
            <w:vAlign w:val="center"/>
          </w:tcPr>
          <w:p w14:paraId="084F02CB">
            <w:pPr>
              <w:spacing w:line="500" w:lineRule="exact"/>
              <w:jc w:val="center"/>
              <w:rPr>
                <w:rFonts w:eastAsia="仿宋"/>
                <w:highlight w:val="none"/>
              </w:rPr>
            </w:pPr>
            <w:r>
              <w:rPr>
                <w:rFonts w:eastAsia="仿宋"/>
                <w:highlight w:val="none"/>
              </w:rPr>
              <w:t>100≤Y&lt;1000</w:t>
            </w:r>
          </w:p>
        </w:tc>
        <w:tc>
          <w:tcPr>
            <w:tcW w:w="1036" w:type="dxa"/>
            <w:vAlign w:val="center"/>
          </w:tcPr>
          <w:p w14:paraId="0D8DE9AF">
            <w:pPr>
              <w:spacing w:line="500" w:lineRule="exact"/>
              <w:jc w:val="center"/>
              <w:rPr>
                <w:rFonts w:eastAsia="仿宋"/>
                <w:highlight w:val="none"/>
              </w:rPr>
            </w:pPr>
            <w:r>
              <w:rPr>
                <w:rFonts w:eastAsia="仿宋"/>
                <w:highlight w:val="none"/>
              </w:rPr>
              <w:t>Y&lt;100</w:t>
            </w:r>
          </w:p>
        </w:tc>
      </w:tr>
      <w:tr w14:paraId="6842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1FF216F">
            <w:pPr>
              <w:spacing w:line="500" w:lineRule="exact"/>
              <w:jc w:val="center"/>
              <w:rPr>
                <w:rFonts w:ascii="仿宋" w:hAnsi="仿宋" w:eastAsia="仿宋"/>
                <w:highlight w:val="none"/>
              </w:rPr>
            </w:pPr>
            <w:r>
              <w:rPr>
                <w:rFonts w:hint="eastAsia" w:ascii="仿宋" w:hAnsi="仿宋" w:eastAsia="仿宋"/>
                <w:highlight w:val="none"/>
              </w:rPr>
              <w:t>软件</w:t>
            </w:r>
            <w:r>
              <w:rPr>
                <w:rFonts w:ascii="仿宋" w:hAnsi="仿宋" w:eastAsia="仿宋"/>
                <w:highlight w:val="none"/>
              </w:rPr>
              <w:t>和信息技术服务业</w:t>
            </w:r>
          </w:p>
        </w:tc>
        <w:tc>
          <w:tcPr>
            <w:tcW w:w="1447" w:type="dxa"/>
            <w:vAlign w:val="center"/>
          </w:tcPr>
          <w:p w14:paraId="125F29C0">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53A74AD6">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0C092827">
            <w:pPr>
              <w:spacing w:line="500" w:lineRule="exact"/>
              <w:jc w:val="center"/>
              <w:rPr>
                <w:rFonts w:eastAsia="仿宋"/>
                <w:highlight w:val="none"/>
              </w:rPr>
            </w:pPr>
            <w:r>
              <w:rPr>
                <w:rFonts w:eastAsia="仿宋"/>
                <w:highlight w:val="none"/>
              </w:rPr>
              <w:t>100≤X&lt;300</w:t>
            </w:r>
          </w:p>
        </w:tc>
        <w:tc>
          <w:tcPr>
            <w:tcW w:w="1572" w:type="dxa"/>
            <w:vAlign w:val="center"/>
          </w:tcPr>
          <w:p w14:paraId="16EAC2FD">
            <w:pPr>
              <w:spacing w:line="500" w:lineRule="exact"/>
              <w:jc w:val="center"/>
              <w:rPr>
                <w:rFonts w:eastAsia="仿宋"/>
                <w:highlight w:val="none"/>
              </w:rPr>
            </w:pPr>
            <w:r>
              <w:rPr>
                <w:rFonts w:eastAsia="仿宋"/>
                <w:highlight w:val="none"/>
              </w:rPr>
              <w:t>10≤X&lt;100</w:t>
            </w:r>
          </w:p>
        </w:tc>
        <w:tc>
          <w:tcPr>
            <w:tcW w:w="1036" w:type="dxa"/>
            <w:vAlign w:val="center"/>
          </w:tcPr>
          <w:p w14:paraId="1662217A">
            <w:pPr>
              <w:spacing w:line="500" w:lineRule="exact"/>
              <w:jc w:val="center"/>
              <w:rPr>
                <w:rFonts w:eastAsia="仿宋"/>
                <w:highlight w:val="none"/>
              </w:rPr>
            </w:pPr>
            <w:r>
              <w:rPr>
                <w:rFonts w:eastAsia="仿宋"/>
                <w:highlight w:val="none"/>
              </w:rPr>
              <w:t>X&lt;10</w:t>
            </w:r>
          </w:p>
        </w:tc>
      </w:tr>
      <w:tr w14:paraId="4200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2E0DEE3">
            <w:pPr>
              <w:spacing w:line="500" w:lineRule="exact"/>
              <w:jc w:val="center"/>
              <w:rPr>
                <w:rFonts w:ascii="仿宋" w:hAnsi="仿宋" w:eastAsia="仿宋"/>
                <w:highlight w:val="none"/>
              </w:rPr>
            </w:pPr>
          </w:p>
        </w:tc>
        <w:tc>
          <w:tcPr>
            <w:tcW w:w="1447" w:type="dxa"/>
            <w:vAlign w:val="center"/>
          </w:tcPr>
          <w:p w14:paraId="210999E8">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4EFB835">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1D5100B1">
            <w:pPr>
              <w:spacing w:line="500" w:lineRule="exact"/>
              <w:jc w:val="center"/>
              <w:rPr>
                <w:rFonts w:eastAsia="仿宋"/>
                <w:highlight w:val="none"/>
              </w:rPr>
            </w:pPr>
            <w:r>
              <w:rPr>
                <w:rFonts w:eastAsia="仿宋"/>
                <w:highlight w:val="none"/>
              </w:rPr>
              <w:t>1000≤Y&lt;10000</w:t>
            </w:r>
          </w:p>
        </w:tc>
        <w:tc>
          <w:tcPr>
            <w:tcW w:w="1572" w:type="dxa"/>
            <w:vAlign w:val="center"/>
          </w:tcPr>
          <w:p w14:paraId="6D2B98E7">
            <w:pPr>
              <w:spacing w:line="500" w:lineRule="exact"/>
              <w:jc w:val="center"/>
              <w:rPr>
                <w:rFonts w:eastAsia="仿宋"/>
                <w:highlight w:val="none"/>
              </w:rPr>
            </w:pPr>
            <w:r>
              <w:rPr>
                <w:rFonts w:eastAsia="仿宋"/>
                <w:highlight w:val="none"/>
              </w:rPr>
              <w:t>50≤Y&lt;1000</w:t>
            </w:r>
          </w:p>
        </w:tc>
        <w:tc>
          <w:tcPr>
            <w:tcW w:w="1036" w:type="dxa"/>
            <w:vAlign w:val="center"/>
          </w:tcPr>
          <w:p w14:paraId="0AB0AA23">
            <w:pPr>
              <w:spacing w:line="500" w:lineRule="exact"/>
              <w:jc w:val="center"/>
              <w:rPr>
                <w:rFonts w:eastAsia="仿宋"/>
                <w:highlight w:val="none"/>
              </w:rPr>
            </w:pPr>
            <w:r>
              <w:rPr>
                <w:rFonts w:eastAsia="仿宋"/>
                <w:highlight w:val="none"/>
              </w:rPr>
              <w:t>Y&lt;50</w:t>
            </w:r>
          </w:p>
        </w:tc>
      </w:tr>
      <w:tr w14:paraId="55866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CEAA3E2">
            <w:pPr>
              <w:spacing w:line="500" w:lineRule="exact"/>
              <w:jc w:val="center"/>
              <w:rPr>
                <w:rFonts w:ascii="仿宋" w:hAnsi="仿宋" w:eastAsia="仿宋"/>
                <w:highlight w:val="none"/>
              </w:rPr>
            </w:pPr>
            <w:r>
              <w:rPr>
                <w:rFonts w:hint="eastAsia" w:ascii="仿宋" w:hAnsi="仿宋" w:eastAsia="仿宋"/>
                <w:highlight w:val="none"/>
              </w:rPr>
              <w:t>房</w:t>
            </w:r>
            <w:r>
              <w:rPr>
                <w:rFonts w:ascii="仿宋" w:hAnsi="仿宋" w:eastAsia="仿宋"/>
                <w:highlight w:val="none"/>
              </w:rPr>
              <w:t>地产开发经营</w:t>
            </w:r>
          </w:p>
        </w:tc>
        <w:tc>
          <w:tcPr>
            <w:tcW w:w="1447" w:type="dxa"/>
            <w:vAlign w:val="center"/>
          </w:tcPr>
          <w:p w14:paraId="776BED33">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5FA7FDD2">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42A792E6">
            <w:pPr>
              <w:spacing w:line="500" w:lineRule="exact"/>
              <w:jc w:val="center"/>
              <w:rPr>
                <w:rFonts w:eastAsia="仿宋"/>
                <w:highlight w:val="none"/>
              </w:rPr>
            </w:pPr>
            <w:r>
              <w:rPr>
                <w:rFonts w:eastAsia="仿宋"/>
                <w:highlight w:val="none"/>
              </w:rPr>
              <w:t>1000≤Y&lt;200000</w:t>
            </w:r>
          </w:p>
        </w:tc>
        <w:tc>
          <w:tcPr>
            <w:tcW w:w="1572" w:type="dxa"/>
            <w:vAlign w:val="center"/>
          </w:tcPr>
          <w:p w14:paraId="0A9C3B7E">
            <w:pPr>
              <w:spacing w:line="500" w:lineRule="exact"/>
              <w:jc w:val="center"/>
              <w:rPr>
                <w:rFonts w:eastAsia="仿宋"/>
                <w:highlight w:val="none"/>
              </w:rPr>
            </w:pPr>
            <w:r>
              <w:rPr>
                <w:rFonts w:eastAsia="仿宋"/>
                <w:highlight w:val="none"/>
              </w:rPr>
              <w:t>100≤Y&lt;1000</w:t>
            </w:r>
          </w:p>
        </w:tc>
        <w:tc>
          <w:tcPr>
            <w:tcW w:w="1036" w:type="dxa"/>
            <w:vAlign w:val="center"/>
          </w:tcPr>
          <w:p w14:paraId="16FBF3C6">
            <w:pPr>
              <w:spacing w:line="500" w:lineRule="exact"/>
              <w:jc w:val="center"/>
              <w:rPr>
                <w:rFonts w:eastAsia="仿宋"/>
                <w:highlight w:val="none"/>
              </w:rPr>
            </w:pPr>
            <w:r>
              <w:rPr>
                <w:rFonts w:eastAsia="仿宋"/>
                <w:highlight w:val="none"/>
              </w:rPr>
              <w:t>Y&lt;100</w:t>
            </w:r>
          </w:p>
        </w:tc>
      </w:tr>
      <w:tr w14:paraId="481F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645F8E2">
            <w:pPr>
              <w:spacing w:line="500" w:lineRule="exact"/>
              <w:jc w:val="center"/>
              <w:rPr>
                <w:rFonts w:ascii="仿宋" w:hAnsi="仿宋" w:eastAsia="仿宋"/>
                <w:highlight w:val="none"/>
              </w:rPr>
            </w:pPr>
          </w:p>
        </w:tc>
        <w:tc>
          <w:tcPr>
            <w:tcW w:w="1447" w:type="dxa"/>
            <w:vAlign w:val="center"/>
          </w:tcPr>
          <w:p w14:paraId="2556F134">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2EBF997E">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82A4116">
            <w:pPr>
              <w:spacing w:line="500" w:lineRule="exact"/>
              <w:jc w:val="center"/>
              <w:rPr>
                <w:rFonts w:eastAsia="仿宋"/>
                <w:highlight w:val="none"/>
              </w:rPr>
            </w:pPr>
            <w:r>
              <w:rPr>
                <w:rFonts w:eastAsia="仿宋"/>
                <w:highlight w:val="none"/>
              </w:rPr>
              <w:t>5000≤Z &lt;10000</w:t>
            </w:r>
          </w:p>
        </w:tc>
        <w:tc>
          <w:tcPr>
            <w:tcW w:w="1572" w:type="dxa"/>
            <w:vAlign w:val="center"/>
          </w:tcPr>
          <w:p w14:paraId="747D6105">
            <w:pPr>
              <w:spacing w:line="500" w:lineRule="exact"/>
              <w:jc w:val="center"/>
              <w:rPr>
                <w:rFonts w:eastAsia="仿宋"/>
                <w:highlight w:val="none"/>
              </w:rPr>
            </w:pPr>
            <w:r>
              <w:rPr>
                <w:rFonts w:eastAsia="仿宋"/>
                <w:highlight w:val="none"/>
              </w:rPr>
              <w:t>2000≤Z &lt;5000</w:t>
            </w:r>
          </w:p>
        </w:tc>
        <w:tc>
          <w:tcPr>
            <w:tcW w:w="1036" w:type="dxa"/>
            <w:vAlign w:val="center"/>
          </w:tcPr>
          <w:p w14:paraId="377833E0">
            <w:pPr>
              <w:spacing w:line="500" w:lineRule="exact"/>
              <w:jc w:val="center"/>
              <w:rPr>
                <w:rFonts w:eastAsia="仿宋"/>
                <w:highlight w:val="none"/>
              </w:rPr>
            </w:pPr>
            <w:r>
              <w:rPr>
                <w:rFonts w:eastAsia="仿宋"/>
                <w:highlight w:val="none"/>
              </w:rPr>
              <w:t>Z&lt;2000</w:t>
            </w:r>
          </w:p>
        </w:tc>
      </w:tr>
      <w:tr w14:paraId="23E6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C01E5BF">
            <w:pPr>
              <w:spacing w:line="500" w:lineRule="exact"/>
              <w:jc w:val="center"/>
              <w:rPr>
                <w:rFonts w:ascii="仿宋" w:hAnsi="仿宋" w:eastAsia="仿宋"/>
                <w:highlight w:val="none"/>
              </w:rPr>
            </w:pPr>
            <w:r>
              <w:rPr>
                <w:rFonts w:hint="eastAsia" w:ascii="仿宋" w:hAnsi="仿宋" w:eastAsia="仿宋"/>
                <w:highlight w:val="none"/>
              </w:rPr>
              <w:t>物业管理</w:t>
            </w:r>
          </w:p>
        </w:tc>
        <w:tc>
          <w:tcPr>
            <w:tcW w:w="1447" w:type="dxa"/>
            <w:vAlign w:val="center"/>
          </w:tcPr>
          <w:p w14:paraId="5AC96EA6">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2CC4E75">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394BCBEC">
            <w:pPr>
              <w:spacing w:line="500" w:lineRule="exact"/>
              <w:jc w:val="center"/>
              <w:rPr>
                <w:rFonts w:eastAsia="仿宋"/>
                <w:highlight w:val="none"/>
              </w:rPr>
            </w:pPr>
            <w:r>
              <w:rPr>
                <w:rFonts w:eastAsia="仿宋"/>
                <w:highlight w:val="none"/>
              </w:rPr>
              <w:t>300≤X&lt;1000</w:t>
            </w:r>
          </w:p>
        </w:tc>
        <w:tc>
          <w:tcPr>
            <w:tcW w:w="1572" w:type="dxa"/>
            <w:vAlign w:val="center"/>
          </w:tcPr>
          <w:p w14:paraId="5B2460DD">
            <w:pPr>
              <w:spacing w:line="500" w:lineRule="exact"/>
              <w:jc w:val="center"/>
              <w:rPr>
                <w:rFonts w:eastAsia="仿宋"/>
                <w:highlight w:val="none"/>
              </w:rPr>
            </w:pPr>
            <w:r>
              <w:rPr>
                <w:rFonts w:eastAsia="仿宋"/>
                <w:highlight w:val="none"/>
              </w:rPr>
              <w:t>100≤X&lt;300</w:t>
            </w:r>
          </w:p>
        </w:tc>
        <w:tc>
          <w:tcPr>
            <w:tcW w:w="1036" w:type="dxa"/>
            <w:vAlign w:val="center"/>
          </w:tcPr>
          <w:p w14:paraId="044959D6">
            <w:pPr>
              <w:spacing w:line="500" w:lineRule="exact"/>
              <w:jc w:val="center"/>
              <w:rPr>
                <w:rFonts w:eastAsia="仿宋"/>
                <w:highlight w:val="none"/>
              </w:rPr>
            </w:pPr>
            <w:r>
              <w:rPr>
                <w:rFonts w:eastAsia="仿宋"/>
                <w:highlight w:val="none"/>
              </w:rPr>
              <w:t>X&lt;100</w:t>
            </w:r>
          </w:p>
        </w:tc>
      </w:tr>
      <w:tr w14:paraId="04EB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95E6BB7">
            <w:pPr>
              <w:spacing w:line="500" w:lineRule="exact"/>
              <w:jc w:val="center"/>
              <w:rPr>
                <w:rFonts w:ascii="仿宋" w:hAnsi="仿宋" w:eastAsia="仿宋"/>
                <w:highlight w:val="none"/>
              </w:rPr>
            </w:pPr>
          </w:p>
        </w:tc>
        <w:tc>
          <w:tcPr>
            <w:tcW w:w="1447" w:type="dxa"/>
            <w:vAlign w:val="center"/>
          </w:tcPr>
          <w:p w14:paraId="7CDEA9B8">
            <w:pPr>
              <w:spacing w:line="500" w:lineRule="exact"/>
              <w:jc w:val="center"/>
              <w:rPr>
                <w:rFonts w:ascii="仿宋" w:hAnsi="仿宋" w:eastAsia="仿宋"/>
                <w:highlight w:val="none"/>
              </w:rPr>
            </w:pPr>
            <w:r>
              <w:rPr>
                <w:rFonts w:ascii="仿宋" w:hAnsi="仿宋" w:eastAsia="仿宋"/>
                <w:highlight w:val="none"/>
              </w:rPr>
              <w:t>营业收入（</w:t>
            </w:r>
            <w:r>
              <w:rPr>
                <w:rFonts w:hint="eastAsia" w:ascii="仿宋" w:hAnsi="仿宋" w:eastAsia="仿宋"/>
                <w:highlight w:val="none"/>
              </w:rPr>
              <w:t>Y）</w:t>
            </w:r>
          </w:p>
        </w:tc>
        <w:tc>
          <w:tcPr>
            <w:tcW w:w="683" w:type="dxa"/>
            <w:vAlign w:val="center"/>
          </w:tcPr>
          <w:p w14:paraId="04059872">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2F651EB5">
            <w:pPr>
              <w:spacing w:line="500" w:lineRule="exact"/>
              <w:jc w:val="center"/>
              <w:rPr>
                <w:rFonts w:eastAsia="仿宋"/>
                <w:highlight w:val="none"/>
              </w:rPr>
            </w:pPr>
            <w:r>
              <w:rPr>
                <w:rFonts w:eastAsia="仿宋"/>
                <w:highlight w:val="none"/>
              </w:rPr>
              <w:t>1000≤Y&lt;5000</w:t>
            </w:r>
          </w:p>
        </w:tc>
        <w:tc>
          <w:tcPr>
            <w:tcW w:w="1572" w:type="dxa"/>
            <w:vAlign w:val="center"/>
          </w:tcPr>
          <w:p w14:paraId="3C2A2F1B">
            <w:pPr>
              <w:spacing w:line="500" w:lineRule="exact"/>
              <w:jc w:val="center"/>
              <w:rPr>
                <w:rFonts w:eastAsia="仿宋"/>
                <w:highlight w:val="none"/>
              </w:rPr>
            </w:pPr>
            <w:r>
              <w:rPr>
                <w:rFonts w:eastAsia="仿宋"/>
                <w:highlight w:val="none"/>
              </w:rPr>
              <w:t>500≤Y&lt;1000</w:t>
            </w:r>
          </w:p>
        </w:tc>
        <w:tc>
          <w:tcPr>
            <w:tcW w:w="1036" w:type="dxa"/>
            <w:vAlign w:val="center"/>
          </w:tcPr>
          <w:p w14:paraId="2B2E6EB4">
            <w:pPr>
              <w:spacing w:line="500" w:lineRule="exact"/>
              <w:jc w:val="center"/>
              <w:rPr>
                <w:rFonts w:eastAsia="仿宋"/>
                <w:highlight w:val="none"/>
              </w:rPr>
            </w:pPr>
            <w:r>
              <w:rPr>
                <w:rFonts w:eastAsia="仿宋"/>
                <w:highlight w:val="none"/>
              </w:rPr>
              <w:t>Y&lt;500</w:t>
            </w:r>
          </w:p>
        </w:tc>
      </w:tr>
      <w:tr w14:paraId="33B1F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2BA2A41">
            <w:pPr>
              <w:spacing w:line="500" w:lineRule="exact"/>
              <w:jc w:val="center"/>
              <w:rPr>
                <w:rFonts w:ascii="仿宋" w:hAnsi="仿宋" w:eastAsia="仿宋"/>
                <w:highlight w:val="none"/>
              </w:rPr>
            </w:pPr>
            <w:r>
              <w:rPr>
                <w:rFonts w:hint="eastAsia" w:ascii="仿宋" w:hAnsi="仿宋" w:eastAsia="仿宋"/>
                <w:highlight w:val="none"/>
              </w:rPr>
              <w:t>租赁</w:t>
            </w:r>
            <w:r>
              <w:rPr>
                <w:rFonts w:ascii="仿宋" w:hAnsi="仿宋" w:eastAsia="仿宋"/>
                <w:highlight w:val="none"/>
              </w:rPr>
              <w:t>和商务服务业</w:t>
            </w:r>
          </w:p>
        </w:tc>
        <w:tc>
          <w:tcPr>
            <w:tcW w:w="1447" w:type="dxa"/>
            <w:vAlign w:val="center"/>
          </w:tcPr>
          <w:p w14:paraId="770D0F74">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095EB444">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4AAB1FF7">
            <w:pPr>
              <w:spacing w:line="500" w:lineRule="exact"/>
              <w:jc w:val="center"/>
              <w:rPr>
                <w:rFonts w:eastAsia="仿宋"/>
                <w:highlight w:val="none"/>
              </w:rPr>
            </w:pPr>
            <w:r>
              <w:rPr>
                <w:rFonts w:eastAsia="仿宋"/>
                <w:highlight w:val="none"/>
              </w:rPr>
              <w:t>100≤X&lt;300</w:t>
            </w:r>
          </w:p>
        </w:tc>
        <w:tc>
          <w:tcPr>
            <w:tcW w:w="1572" w:type="dxa"/>
            <w:vAlign w:val="center"/>
          </w:tcPr>
          <w:p w14:paraId="3C5AED91">
            <w:pPr>
              <w:spacing w:line="500" w:lineRule="exact"/>
              <w:jc w:val="center"/>
              <w:rPr>
                <w:rFonts w:eastAsia="仿宋"/>
                <w:highlight w:val="none"/>
              </w:rPr>
            </w:pPr>
            <w:r>
              <w:rPr>
                <w:rFonts w:eastAsia="仿宋"/>
                <w:highlight w:val="none"/>
              </w:rPr>
              <w:t>10≤X&lt;100</w:t>
            </w:r>
          </w:p>
        </w:tc>
        <w:tc>
          <w:tcPr>
            <w:tcW w:w="1036" w:type="dxa"/>
            <w:vAlign w:val="center"/>
          </w:tcPr>
          <w:p w14:paraId="4BCB999D">
            <w:pPr>
              <w:spacing w:line="500" w:lineRule="exact"/>
              <w:jc w:val="center"/>
              <w:rPr>
                <w:rFonts w:eastAsia="仿宋"/>
                <w:highlight w:val="none"/>
              </w:rPr>
            </w:pPr>
            <w:r>
              <w:rPr>
                <w:rFonts w:eastAsia="仿宋"/>
                <w:highlight w:val="none"/>
              </w:rPr>
              <w:t>X&lt;10</w:t>
            </w:r>
          </w:p>
        </w:tc>
      </w:tr>
      <w:tr w14:paraId="546B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453B503">
            <w:pPr>
              <w:spacing w:line="500" w:lineRule="exact"/>
              <w:jc w:val="center"/>
              <w:rPr>
                <w:rFonts w:ascii="仿宋" w:hAnsi="仿宋" w:eastAsia="仿宋"/>
                <w:highlight w:val="none"/>
              </w:rPr>
            </w:pPr>
          </w:p>
        </w:tc>
        <w:tc>
          <w:tcPr>
            <w:tcW w:w="1447" w:type="dxa"/>
            <w:vAlign w:val="center"/>
          </w:tcPr>
          <w:p w14:paraId="7C0CC76E">
            <w:pPr>
              <w:spacing w:line="500" w:lineRule="exact"/>
              <w:jc w:val="center"/>
              <w:rPr>
                <w:rFonts w:ascii="仿宋" w:hAnsi="仿宋" w:eastAsia="仿宋"/>
                <w:highlight w:val="none"/>
              </w:rPr>
            </w:pPr>
            <w:r>
              <w:rPr>
                <w:rFonts w:hint="eastAsia" w:ascii="仿宋" w:hAnsi="仿宋" w:eastAsia="仿宋"/>
                <w:highlight w:val="none"/>
              </w:rPr>
              <w:t>资产</w:t>
            </w:r>
            <w:r>
              <w:rPr>
                <w:rFonts w:ascii="仿宋" w:hAnsi="仿宋" w:eastAsia="仿宋"/>
                <w:highlight w:val="none"/>
              </w:rPr>
              <w:t>总额（</w:t>
            </w:r>
            <w:r>
              <w:rPr>
                <w:rFonts w:hint="eastAsia" w:ascii="仿宋" w:hAnsi="仿宋" w:eastAsia="仿宋"/>
                <w:highlight w:val="none"/>
              </w:rPr>
              <w:t>Z）</w:t>
            </w:r>
          </w:p>
        </w:tc>
        <w:tc>
          <w:tcPr>
            <w:tcW w:w="683" w:type="dxa"/>
            <w:vAlign w:val="center"/>
          </w:tcPr>
          <w:p w14:paraId="73DEEB57">
            <w:pPr>
              <w:spacing w:line="500" w:lineRule="exact"/>
              <w:jc w:val="center"/>
              <w:rPr>
                <w:rFonts w:ascii="仿宋" w:hAnsi="仿宋" w:eastAsia="仿宋"/>
                <w:highlight w:val="none"/>
              </w:rPr>
            </w:pPr>
            <w:r>
              <w:rPr>
                <w:rFonts w:ascii="仿宋" w:hAnsi="仿宋" w:eastAsia="仿宋"/>
                <w:highlight w:val="none"/>
              </w:rPr>
              <w:t>万元</w:t>
            </w:r>
          </w:p>
        </w:tc>
        <w:tc>
          <w:tcPr>
            <w:tcW w:w="1830" w:type="dxa"/>
            <w:vAlign w:val="center"/>
          </w:tcPr>
          <w:p w14:paraId="736F12D6">
            <w:pPr>
              <w:spacing w:line="500" w:lineRule="exact"/>
              <w:jc w:val="center"/>
              <w:rPr>
                <w:rFonts w:eastAsia="仿宋"/>
                <w:highlight w:val="none"/>
              </w:rPr>
            </w:pPr>
            <w:r>
              <w:rPr>
                <w:rFonts w:eastAsia="仿宋"/>
                <w:highlight w:val="none"/>
              </w:rPr>
              <w:t>8000≤Z &lt;120000</w:t>
            </w:r>
          </w:p>
        </w:tc>
        <w:tc>
          <w:tcPr>
            <w:tcW w:w="1572" w:type="dxa"/>
            <w:vAlign w:val="center"/>
          </w:tcPr>
          <w:p w14:paraId="4036D0DF">
            <w:pPr>
              <w:spacing w:line="500" w:lineRule="exact"/>
              <w:jc w:val="center"/>
              <w:rPr>
                <w:rFonts w:eastAsia="仿宋"/>
                <w:highlight w:val="none"/>
              </w:rPr>
            </w:pPr>
            <w:r>
              <w:rPr>
                <w:rFonts w:eastAsia="仿宋"/>
                <w:highlight w:val="none"/>
              </w:rPr>
              <w:t>100≤Z &lt;8000</w:t>
            </w:r>
          </w:p>
        </w:tc>
        <w:tc>
          <w:tcPr>
            <w:tcW w:w="1036" w:type="dxa"/>
            <w:vAlign w:val="center"/>
          </w:tcPr>
          <w:p w14:paraId="46B39B31">
            <w:pPr>
              <w:spacing w:line="500" w:lineRule="exact"/>
              <w:jc w:val="center"/>
              <w:rPr>
                <w:rFonts w:eastAsia="仿宋"/>
                <w:highlight w:val="none"/>
              </w:rPr>
            </w:pPr>
            <w:r>
              <w:rPr>
                <w:rFonts w:eastAsia="仿宋"/>
                <w:highlight w:val="none"/>
              </w:rPr>
              <w:t>Z&lt;100</w:t>
            </w:r>
          </w:p>
        </w:tc>
      </w:tr>
      <w:tr w14:paraId="28D8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B0509EC">
            <w:pPr>
              <w:spacing w:line="500" w:lineRule="exact"/>
              <w:jc w:val="center"/>
              <w:rPr>
                <w:rFonts w:ascii="仿宋" w:hAnsi="仿宋" w:eastAsia="仿宋"/>
                <w:highlight w:val="none"/>
              </w:rPr>
            </w:pPr>
            <w:r>
              <w:rPr>
                <w:rFonts w:hint="eastAsia" w:ascii="仿宋" w:hAnsi="仿宋" w:eastAsia="仿宋"/>
                <w:highlight w:val="none"/>
              </w:rPr>
              <w:t>其</w:t>
            </w:r>
            <w:r>
              <w:rPr>
                <w:rFonts w:ascii="仿宋" w:hAnsi="仿宋" w:eastAsia="仿宋"/>
                <w:highlight w:val="none"/>
              </w:rPr>
              <w:t>他未列明行业</w:t>
            </w:r>
          </w:p>
        </w:tc>
        <w:tc>
          <w:tcPr>
            <w:tcW w:w="1447" w:type="dxa"/>
            <w:vAlign w:val="center"/>
          </w:tcPr>
          <w:p w14:paraId="1D6B315A">
            <w:pPr>
              <w:spacing w:line="500" w:lineRule="exact"/>
              <w:jc w:val="center"/>
              <w:rPr>
                <w:rFonts w:ascii="仿宋" w:hAnsi="仿宋" w:eastAsia="仿宋"/>
                <w:highlight w:val="none"/>
              </w:rPr>
            </w:pPr>
            <w:r>
              <w:rPr>
                <w:rFonts w:ascii="仿宋" w:hAnsi="仿宋" w:eastAsia="仿宋"/>
                <w:highlight w:val="none"/>
              </w:rPr>
              <w:t>从业人员（</w:t>
            </w:r>
            <w:r>
              <w:rPr>
                <w:rFonts w:hint="eastAsia" w:ascii="仿宋" w:hAnsi="仿宋" w:eastAsia="仿宋"/>
                <w:highlight w:val="none"/>
              </w:rPr>
              <w:t>X）</w:t>
            </w:r>
          </w:p>
        </w:tc>
        <w:tc>
          <w:tcPr>
            <w:tcW w:w="683" w:type="dxa"/>
            <w:vAlign w:val="center"/>
          </w:tcPr>
          <w:p w14:paraId="76306353">
            <w:pPr>
              <w:spacing w:line="500" w:lineRule="exact"/>
              <w:jc w:val="center"/>
              <w:rPr>
                <w:rFonts w:ascii="仿宋" w:hAnsi="仿宋" w:eastAsia="仿宋"/>
                <w:highlight w:val="none"/>
              </w:rPr>
            </w:pPr>
            <w:r>
              <w:rPr>
                <w:rFonts w:ascii="仿宋" w:hAnsi="仿宋" w:eastAsia="仿宋"/>
                <w:highlight w:val="none"/>
              </w:rPr>
              <w:t>人</w:t>
            </w:r>
          </w:p>
        </w:tc>
        <w:tc>
          <w:tcPr>
            <w:tcW w:w="1830" w:type="dxa"/>
            <w:vAlign w:val="center"/>
          </w:tcPr>
          <w:p w14:paraId="68491A5D">
            <w:pPr>
              <w:spacing w:line="500" w:lineRule="exact"/>
              <w:jc w:val="center"/>
              <w:rPr>
                <w:rFonts w:eastAsia="仿宋"/>
                <w:highlight w:val="none"/>
              </w:rPr>
            </w:pPr>
            <w:r>
              <w:rPr>
                <w:rFonts w:eastAsia="仿宋"/>
                <w:highlight w:val="none"/>
              </w:rPr>
              <w:t>100≤X&lt;300</w:t>
            </w:r>
          </w:p>
        </w:tc>
        <w:tc>
          <w:tcPr>
            <w:tcW w:w="1572" w:type="dxa"/>
            <w:vAlign w:val="center"/>
          </w:tcPr>
          <w:p w14:paraId="160640DC">
            <w:pPr>
              <w:spacing w:line="500" w:lineRule="exact"/>
              <w:jc w:val="center"/>
              <w:rPr>
                <w:rFonts w:eastAsia="仿宋"/>
                <w:highlight w:val="none"/>
              </w:rPr>
            </w:pPr>
            <w:r>
              <w:rPr>
                <w:rFonts w:eastAsia="仿宋"/>
                <w:highlight w:val="none"/>
              </w:rPr>
              <w:t>10≤X&lt;100</w:t>
            </w:r>
          </w:p>
        </w:tc>
        <w:tc>
          <w:tcPr>
            <w:tcW w:w="1036" w:type="dxa"/>
            <w:vAlign w:val="center"/>
          </w:tcPr>
          <w:p w14:paraId="240F9477">
            <w:pPr>
              <w:spacing w:line="500" w:lineRule="exact"/>
              <w:jc w:val="center"/>
              <w:rPr>
                <w:rFonts w:eastAsia="仿宋"/>
                <w:highlight w:val="none"/>
              </w:rPr>
            </w:pPr>
            <w:r>
              <w:rPr>
                <w:rFonts w:eastAsia="仿宋"/>
                <w:highlight w:val="none"/>
              </w:rPr>
              <w:t>X&lt;10</w:t>
            </w:r>
          </w:p>
        </w:tc>
      </w:tr>
    </w:tbl>
    <w:p w14:paraId="3C0EF8B3">
      <w:pPr>
        <w:keepNext w:val="0"/>
        <w:keepLines w:val="0"/>
        <w:pageBreakBefore w:val="0"/>
        <w:widowControl w:val="0"/>
        <w:kinsoku/>
        <w:wordWrap/>
        <w:overflowPunct/>
        <w:topLinePunct w:val="0"/>
        <w:autoSpaceDE/>
        <w:autoSpaceDN/>
        <w:bidi w:val="0"/>
        <w:spacing w:line="460" w:lineRule="exact"/>
        <w:ind w:firstLine="420" w:firstLineChars="200"/>
        <w:textAlignment w:val="auto"/>
        <w:rPr>
          <w:rFonts w:ascii="仿宋" w:hAnsi="仿宋" w:eastAsia="仿宋"/>
          <w:sz w:val="28"/>
          <w:szCs w:val="28"/>
          <w:highlight w:val="none"/>
        </w:rPr>
      </w:pPr>
      <w:r>
        <w:rPr>
          <w:rFonts w:hint="eastAsia" w:ascii="仿宋" w:hAnsi="仿宋" w:eastAsia="仿宋"/>
          <w:highlight w:val="none"/>
        </w:rPr>
        <w:t>说明：大型、中型和小型企业须同时满足所列指标的下限，否则下划一档；微型企业只须满足所列指标中的一项即可。</w:t>
      </w:r>
    </w:p>
    <w:p w14:paraId="3E46D316">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7.2 残疾人福利单位价格扣除</w:t>
      </w:r>
    </w:p>
    <w:p w14:paraId="29036365">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7.2.1</w:t>
      </w:r>
      <w:r>
        <w:rPr>
          <w:rFonts w:ascii="仿宋" w:hAnsi="仿宋" w:eastAsia="仿宋"/>
          <w:sz w:val="28"/>
          <w:szCs w:val="28"/>
          <w:highlight w:val="none"/>
        </w:rPr>
        <w:t>享受政府采购支持政策的残疾人福利性单位应当同时满足以下条件：</w:t>
      </w:r>
    </w:p>
    <w:p w14:paraId="40A0627A">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C2023A3">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依法与安置的每位残疾人签订了一年以上（含一年）的劳动合同或服务协议；</w:t>
      </w:r>
    </w:p>
    <w:p w14:paraId="25327192">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为安置的每位残疾人按月足额缴纳了基本养老保险、基本医疗保险、失业保险、工伤保险和生育保险等社会保险费；</w:t>
      </w:r>
    </w:p>
    <w:p w14:paraId="03506E98">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通过银行等金融机构向安置的每位残疾人，按月支付了不低于单位所在区县适用的经省级人民政府批准的月最低工资标准的工资；</w:t>
      </w:r>
    </w:p>
    <w:p w14:paraId="6D725A1E">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提供本单位制造的货物、承担的工程或者服务（以下简称产品），或者提供其他残疾人福利性单位制造的货物（不包括使用非残疾人福利性单位注册商标的货物）。</w:t>
      </w:r>
    </w:p>
    <w:p w14:paraId="192C930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5E9DA6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7.2.3 残疾人福利单位需按照采购文件的要求提供《残疾人福利性单位声明函》，否则不予享受。</w:t>
      </w:r>
    </w:p>
    <w:p w14:paraId="0029904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7.2.4 残疾人福利单位属于小型、微型企业的，不重复享受政策。</w:t>
      </w:r>
    </w:p>
    <w:p w14:paraId="23DEEB53">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7.3 监狱和戒毒企业价格扣除</w:t>
      </w:r>
    </w:p>
    <w:p w14:paraId="4F959081">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563FFC">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7.3.2 监狱企业参加政府采购活动时，应当提供由省级以上监狱管理局、戒毒管理局(含新疆生产建设兵团)出具的属于监狱企业的证明文件。</w:t>
      </w:r>
    </w:p>
    <w:p w14:paraId="7A32DDB5">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7.3.3 在政府采购活动中，监狱企业视同小型、微型企业，享受预留份额、评审中价格扣除等政府采购促进中小企业发展的政府采购政策。</w:t>
      </w:r>
    </w:p>
    <w:p w14:paraId="238A025A">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7.3.4 监狱企业属于小型、微型企业的，不重复享受政策。</w:t>
      </w:r>
    </w:p>
    <w:p w14:paraId="221BDF0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7.4 根据《财政部、发展改革委关于印发节能产品政府采购品目清单的通知》（</w:t>
      </w:r>
      <w:r>
        <w:rPr>
          <w:rFonts w:hint="eastAsia" w:ascii="仿宋" w:hAnsi="仿宋" w:eastAsia="仿宋" w:cs="宋体"/>
          <w:color w:val="000000"/>
          <w:kern w:val="0"/>
          <w:sz w:val="26"/>
          <w:szCs w:val="26"/>
          <w:highlight w:val="none"/>
        </w:rPr>
        <w:t>财库〔2019〕19号</w:t>
      </w:r>
      <w:r>
        <w:rPr>
          <w:rFonts w:hint="eastAsia" w:ascii="仿宋" w:hAnsi="仿宋" w:eastAsia="仿宋"/>
          <w:sz w:val="28"/>
          <w:szCs w:val="28"/>
          <w:highlight w:val="none"/>
        </w:rPr>
        <w:t>）要求，下列产品实行强制采购或者优先采购：</w:t>
      </w:r>
    </w:p>
    <w:p w14:paraId="2BFAEA53">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122883FB">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1633FCF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内的</w:t>
      </w:r>
      <w:r>
        <w:rPr>
          <w:rFonts w:hint="eastAsia" w:ascii="仿宋" w:hAnsi="仿宋" w:eastAsia="仿宋"/>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3E9A811E">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7.6 根据《江苏省政府采购供应商监督管理暂行办法》的规定，诚信记录分每减10分，给予本项目总分值2%的扣分，扣分最多不超过本项目总分值6%。</w:t>
      </w:r>
    </w:p>
    <w:p w14:paraId="48B261B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黑体" w:hAnsi="黑体" w:eastAsia="黑体"/>
          <w:bCs/>
          <w:sz w:val="28"/>
          <w:szCs w:val="28"/>
          <w:highlight w:val="none"/>
        </w:rPr>
      </w:pPr>
      <w:r>
        <w:rPr>
          <w:rFonts w:hint="eastAsia" w:ascii="黑体" w:hAnsi="黑体" w:eastAsia="黑体"/>
          <w:bCs/>
          <w:sz w:val="28"/>
          <w:szCs w:val="28"/>
          <w:highlight w:val="none"/>
        </w:rPr>
        <w:t>8.无效响应和谈判活动终止</w:t>
      </w:r>
    </w:p>
    <w:p w14:paraId="1D85DDB2">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p>
    <w:p w14:paraId="3E6BDD4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8.1.1 不具备竞争性谈判文件中规定的资格要求的。</w:t>
      </w:r>
    </w:p>
    <w:p w14:paraId="0BD6E4DB">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8.1.2 最后报价超过了采购预算或最高限价的。</w:t>
      </w:r>
    </w:p>
    <w:p w14:paraId="0B9E91C8">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8.1.3 未通过符合性审查的。</w:t>
      </w:r>
    </w:p>
    <w:p w14:paraId="7AFA340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8.1.4 不符合法律、法规和竞争性谈判文件中规定的其他实质性要求的。</w:t>
      </w:r>
    </w:p>
    <w:p w14:paraId="01D2DC9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CF023C2">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8.1.6 响应文件含有采购人不能接受的附加条件的。</w:t>
      </w:r>
    </w:p>
    <w:p w14:paraId="34DA1B1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8.1.7 本项目采购产品被财政部、国家发改委、生态环境部等列入“节能产品品目清单”、“环境标志产品品目清单”强制采购范围，而供应商的响应产品不在强制采购范围内的。</w:t>
      </w:r>
    </w:p>
    <w:p w14:paraId="4E35133B">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8.1.8 响应文件未按照谈判文件要求加盖电子签章。</w:t>
      </w:r>
    </w:p>
    <w:p w14:paraId="6690224C">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8.1.9 供应商在系统规定的时间内未成功解密电子响应文件的。</w:t>
      </w:r>
    </w:p>
    <w:p w14:paraId="46366D42">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8.1.10 未完整上传响应文件电子文档的,或上传的文件打不开的。</w:t>
      </w:r>
    </w:p>
    <w:p w14:paraId="66218DE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8.1.11 不同的供应商响应文件制作机器码、文件创建标识码一致的。</w:t>
      </w:r>
    </w:p>
    <w:p w14:paraId="329F4ED3">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8.1.12其他法律、法规及本谈判文件规定的属无效响应的情形。</w:t>
      </w:r>
    </w:p>
    <w:p w14:paraId="1114A5D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8.2 出现下列情形之一的，本次竞争性谈判采购活动将被终止：</w:t>
      </w:r>
    </w:p>
    <w:p w14:paraId="74960ADF">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因情况变化，不再符合规定的竞争性谈判采购方式适用情形的；</w:t>
      </w:r>
    </w:p>
    <w:p w14:paraId="4D567511">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出现影响采购公正的违法、违规行为的；</w:t>
      </w:r>
    </w:p>
    <w:p w14:paraId="3FEAB81E">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8.2.3</w:t>
      </w:r>
      <w:r>
        <w:rPr>
          <w:rFonts w:ascii="仿宋" w:hAnsi="仿宋" w:eastAsia="仿宋"/>
          <w:sz w:val="28"/>
          <w:szCs w:val="28"/>
          <w:highlight w:val="none"/>
        </w:rPr>
        <w:t>在采购过程中符合竞争要求的供应商或者报价未超过采购预算的供应商不足3家的。</w:t>
      </w:r>
    </w:p>
    <w:p w14:paraId="460FE020">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8.2.4 因重大变故，采购任务取消的。</w:t>
      </w:r>
    </w:p>
    <w:p w14:paraId="5E8F4698">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黑体" w:hAnsi="黑体" w:eastAsia="黑体"/>
          <w:sz w:val="28"/>
          <w:szCs w:val="28"/>
          <w:highlight w:val="none"/>
        </w:rPr>
      </w:pPr>
      <w:r>
        <w:rPr>
          <w:rFonts w:hint="eastAsia" w:ascii="黑体" w:hAnsi="黑体" w:eastAsia="黑体"/>
          <w:sz w:val="28"/>
          <w:szCs w:val="28"/>
          <w:highlight w:val="none"/>
        </w:rPr>
        <w:t>9. 询问、质疑和投诉</w:t>
      </w:r>
    </w:p>
    <w:p w14:paraId="45B54F5E">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9.1 供应商对政府采购活动事项有疑问的，可以向采购人或者采购代理机构提出询问，采购人或者采购代理机构应当在3个工作日内作出答复。</w:t>
      </w:r>
    </w:p>
    <w:p w14:paraId="34FA387F">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620E6A6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上述应知其权益受到损害之日，是指：</w:t>
      </w:r>
      <w:r>
        <w:rPr>
          <w:rFonts w:ascii="仿宋" w:hAnsi="仿宋" w:eastAsia="仿宋"/>
          <w:sz w:val="28"/>
          <w:szCs w:val="28"/>
          <w:highlight w:val="none"/>
        </w:rPr>
        <w:t>对可以质疑的</w:t>
      </w:r>
      <w:r>
        <w:rPr>
          <w:rFonts w:hint="eastAsia" w:ascii="仿宋" w:hAnsi="仿宋" w:eastAsia="仿宋"/>
          <w:sz w:val="28"/>
          <w:szCs w:val="28"/>
          <w:highlight w:val="none"/>
        </w:rPr>
        <w:t>招标</w:t>
      </w:r>
      <w:r>
        <w:rPr>
          <w:rFonts w:ascii="仿宋" w:hAnsi="仿宋" w:eastAsia="仿宋"/>
          <w:sz w:val="28"/>
          <w:szCs w:val="28"/>
          <w:highlight w:val="none"/>
        </w:rPr>
        <w:t>文件提出质疑的，为收到</w:t>
      </w:r>
      <w:r>
        <w:rPr>
          <w:rFonts w:hint="eastAsia" w:ascii="仿宋" w:hAnsi="仿宋" w:eastAsia="仿宋"/>
          <w:sz w:val="28"/>
          <w:szCs w:val="28"/>
          <w:highlight w:val="none"/>
        </w:rPr>
        <w:t>招标</w:t>
      </w:r>
      <w:r>
        <w:rPr>
          <w:rFonts w:ascii="仿宋" w:hAnsi="仿宋" w:eastAsia="仿宋"/>
          <w:sz w:val="28"/>
          <w:szCs w:val="28"/>
          <w:highlight w:val="none"/>
        </w:rPr>
        <w:t>文件之日或者</w:t>
      </w:r>
      <w:r>
        <w:rPr>
          <w:rFonts w:hint="eastAsia" w:ascii="仿宋" w:hAnsi="仿宋" w:eastAsia="仿宋"/>
          <w:sz w:val="28"/>
          <w:szCs w:val="28"/>
          <w:highlight w:val="none"/>
        </w:rPr>
        <w:t>招标</w:t>
      </w:r>
      <w:r>
        <w:rPr>
          <w:rFonts w:ascii="仿宋" w:hAnsi="仿宋" w:eastAsia="仿宋"/>
          <w:sz w:val="28"/>
          <w:szCs w:val="28"/>
          <w:highlight w:val="none"/>
        </w:rPr>
        <w:t>文件公告期限届满之日；对采购过程提出质疑的，为各采购程序环节结束之日；对成交结果提出质疑的，为成交结果公告期限届满之日。</w:t>
      </w:r>
    </w:p>
    <w:p w14:paraId="750163B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9.3 提出质疑的供应商（以下简称质疑供应商）应当是参与所质疑项目采购活动的供应商。潜在供应商已依法获取其可质疑的采购文件的，可以对该文件提出质疑。</w:t>
      </w:r>
    </w:p>
    <w:p w14:paraId="5E37CDD7">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26615D3D">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64E8EF3D">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，见谈判文件第</w:t>
      </w:r>
      <w:r>
        <w:rPr>
          <w:rFonts w:hint="eastAsia" w:ascii="仿宋" w:hAnsi="仿宋" w:eastAsia="仿宋"/>
          <w:b/>
          <w:sz w:val="28"/>
          <w:szCs w:val="28"/>
          <w:highlight w:val="none"/>
        </w:rPr>
        <w:t>1</w:t>
      </w:r>
      <w:r>
        <w:rPr>
          <w:rFonts w:ascii="仿宋" w:hAnsi="仿宋" w:eastAsia="仿宋"/>
          <w:b/>
          <w:sz w:val="28"/>
          <w:szCs w:val="28"/>
          <w:highlight w:val="none"/>
        </w:rPr>
        <w:t>章。</w:t>
      </w:r>
    </w:p>
    <w:p w14:paraId="3E7FB25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以下情形的质疑不予受理：</w:t>
      </w:r>
    </w:p>
    <w:p w14:paraId="10A1C103">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内容不符合《政府采购质疑和投诉办法》第十二条规定的质疑。</w:t>
      </w:r>
    </w:p>
    <w:p w14:paraId="4B9D4D6C">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超出政府采购法定期限的质疑。</w:t>
      </w:r>
    </w:p>
    <w:p w14:paraId="30C041ED">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9.7.3</w:t>
      </w:r>
      <w:r>
        <w:rPr>
          <w:rFonts w:ascii="仿宋" w:hAnsi="仿宋" w:eastAsia="仿宋"/>
          <w:sz w:val="28"/>
          <w:szCs w:val="28"/>
          <w:highlight w:val="none"/>
        </w:rPr>
        <w:t>未参加谈判活动的供应商或在谈判活动中自身权益未受到损害的供应商所提出的质疑。</w:t>
      </w:r>
    </w:p>
    <w:p w14:paraId="560939C0">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供应商组成联合体参加谈判活动，联合体中任何一方或多方未按要求签字、盖章、加盖公章的质疑。</w:t>
      </w:r>
    </w:p>
    <w:p w14:paraId="474C6908">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供应商提出书面质疑必须有理、有据，不得捏造事实、提供虚假材料进行恶意质疑。否则，一经查实，</w:t>
      </w:r>
      <w:r>
        <w:rPr>
          <w:rFonts w:hint="eastAsia" w:ascii="仿宋" w:hAnsi="仿宋" w:eastAsia="仿宋"/>
          <w:sz w:val="28"/>
          <w:szCs w:val="28"/>
          <w:highlight w:val="none"/>
        </w:rPr>
        <w:t>采购代理机构</w:t>
      </w:r>
      <w:r>
        <w:rPr>
          <w:rFonts w:ascii="仿宋" w:hAnsi="仿宋" w:eastAsia="仿宋"/>
          <w:sz w:val="28"/>
          <w:szCs w:val="28"/>
          <w:highlight w:val="none"/>
        </w:rPr>
        <w:t>有权依据政府采购的有关规定，报请政府采购监管部门对该供应商进行相应的行政处罚和记录该供应商的失信信息。</w:t>
      </w:r>
    </w:p>
    <w:p w14:paraId="1EA480DC">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9.9 质疑函范本</w:t>
      </w:r>
    </w:p>
    <w:p w14:paraId="334D3A16">
      <w:pPr>
        <w:keepNext w:val="0"/>
        <w:keepLines w:val="0"/>
        <w:pageBreakBefore w:val="0"/>
        <w:widowControl w:val="0"/>
        <w:kinsoku/>
        <w:wordWrap/>
        <w:overflowPunct/>
        <w:topLinePunct w:val="0"/>
        <w:autoSpaceDE/>
        <w:autoSpaceDN/>
        <w:bidi w:val="0"/>
        <w:spacing w:line="460" w:lineRule="exact"/>
        <w:jc w:val="center"/>
        <w:textAlignment w:val="auto"/>
        <w:rPr>
          <w:rFonts w:ascii="仿宋" w:hAnsi="仿宋" w:eastAsia="仿宋" w:cs="仿宋"/>
          <w:b/>
          <w:bCs/>
          <w:sz w:val="32"/>
          <w:szCs w:val="32"/>
          <w:highlight w:val="none"/>
        </w:rPr>
      </w:pPr>
      <w:r>
        <w:rPr>
          <w:rFonts w:hint="eastAsia" w:ascii="仿宋" w:hAnsi="仿宋" w:eastAsia="仿宋" w:cs="仿宋"/>
          <w:b/>
          <w:bCs/>
          <w:sz w:val="32"/>
          <w:szCs w:val="32"/>
          <w:highlight w:val="none"/>
        </w:rPr>
        <w:t>质疑函</w:t>
      </w:r>
    </w:p>
    <w:p w14:paraId="202AA850">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黑体" w:hAnsi="黑体" w:eastAsia="黑体" w:cs="仿宋"/>
          <w:bCs/>
          <w:sz w:val="28"/>
          <w:szCs w:val="28"/>
          <w:highlight w:val="none"/>
        </w:rPr>
      </w:pPr>
      <w:r>
        <w:rPr>
          <w:rFonts w:hint="eastAsia" w:ascii="黑体" w:hAnsi="黑体" w:eastAsia="黑体" w:cs="仿宋"/>
          <w:bCs/>
          <w:sz w:val="28"/>
          <w:szCs w:val="28"/>
          <w:highlight w:val="none"/>
        </w:rPr>
        <w:t>一、质疑供应商基本信息</w:t>
      </w:r>
    </w:p>
    <w:p w14:paraId="2C3531B3">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质疑供应商：</w:t>
      </w:r>
    </w:p>
    <w:p w14:paraId="4E316DD0">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53A54BBA">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联系人：联系电话：</w:t>
      </w:r>
    </w:p>
    <w:p w14:paraId="4A8956C4">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授权代表：联系电话：</w:t>
      </w:r>
    </w:p>
    <w:p w14:paraId="7713EC7C">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地址：邮编：</w:t>
      </w:r>
    </w:p>
    <w:p w14:paraId="01865BC6">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黑体" w:hAnsi="黑体" w:eastAsia="黑体" w:cs="仿宋"/>
          <w:bCs/>
          <w:sz w:val="28"/>
          <w:szCs w:val="28"/>
          <w:highlight w:val="none"/>
        </w:rPr>
      </w:pPr>
      <w:r>
        <w:rPr>
          <w:rFonts w:hint="eastAsia" w:ascii="黑体" w:hAnsi="黑体" w:eastAsia="黑体" w:cs="仿宋"/>
          <w:bCs/>
          <w:sz w:val="28"/>
          <w:szCs w:val="28"/>
          <w:highlight w:val="none"/>
        </w:rPr>
        <w:t>二、质疑项目基本情况</w:t>
      </w:r>
    </w:p>
    <w:p w14:paraId="2EA313D6">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质疑项目的名称：</w:t>
      </w:r>
    </w:p>
    <w:p w14:paraId="6D91FEA8">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质疑项目的编号：包号：</w:t>
      </w:r>
    </w:p>
    <w:p w14:paraId="4587A6B1">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采购人名称：</w:t>
      </w:r>
    </w:p>
    <w:p w14:paraId="684C937F">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采购文件获取日期：</w:t>
      </w:r>
    </w:p>
    <w:p w14:paraId="3B96DFAB">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黑体" w:hAnsi="黑体" w:eastAsia="黑体" w:cs="仿宋"/>
          <w:bCs/>
          <w:sz w:val="28"/>
          <w:szCs w:val="28"/>
          <w:highlight w:val="none"/>
        </w:rPr>
      </w:pPr>
      <w:r>
        <w:rPr>
          <w:rFonts w:hint="eastAsia" w:ascii="黑体" w:hAnsi="黑体" w:eastAsia="黑体" w:cs="仿宋"/>
          <w:bCs/>
          <w:sz w:val="28"/>
          <w:szCs w:val="28"/>
          <w:highlight w:val="none"/>
        </w:rPr>
        <w:t>三、质疑事项具体内容</w:t>
      </w:r>
    </w:p>
    <w:p w14:paraId="65F1BC5B">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质疑事项1：</w:t>
      </w:r>
    </w:p>
    <w:p w14:paraId="240BF758">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事实依据：</w:t>
      </w:r>
    </w:p>
    <w:p w14:paraId="337D5D0B">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p>
    <w:p w14:paraId="4FEBC98A">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法律依据：</w:t>
      </w:r>
    </w:p>
    <w:p w14:paraId="4E119962">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p>
    <w:p w14:paraId="713FDFED">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质疑事项2</w:t>
      </w:r>
    </w:p>
    <w:p w14:paraId="1FD64A68">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rPr>
      </w:pPr>
      <w:r>
        <w:rPr>
          <w:rFonts w:hint="eastAsia" w:ascii="仿宋" w:hAnsi="仿宋" w:eastAsia="仿宋" w:cs="仿宋"/>
          <w:sz w:val="28"/>
          <w:szCs w:val="28"/>
          <w:highlight w:val="none"/>
        </w:rPr>
        <w:t>……</w:t>
      </w:r>
    </w:p>
    <w:p w14:paraId="76A9EAB5">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黑体" w:hAnsi="黑体" w:eastAsia="黑体" w:cs="仿宋"/>
          <w:bCs/>
          <w:sz w:val="28"/>
          <w:szCs w:val="28"/>
          <w:highlight w:val="none"/>
        </w:rPr>
      </w:pPr>
      <w:r>
        <w:rPr>
          <w:rFonts w:hint="eastAsia" w:ascii="黑体" w:hAnsi="黑体" w:eastAsia="黑体" w:cs="仿宋"/>
          <w:bCs/>
          <w:sz w:val="28"/>
          <w:szCs w:val="28"/>
          <w:highlight w:val="none"/>
        </w:rPr>
        <w:t>四、与质疑事项相关的质疑请求</w:t>
      </w:r>
    </w:p>
    <w:p w14:paraId="18F89256">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ascii="仿宋" w:hAnsi="仿宋" w:eastAsia="仿宋" w:cs="仿宋"/>
          <w:sz w:val="28"/>
          <w:szCs w:val="28"/>
          <w:highlight w:val="none"/>
          <w:u w:val="dotted"/>
        </w:rPr>
      </w:pPr>
      <w:r>
        <w:rPr>
          <w:rFonts w:hint="eastAsia" w:ascii="仿宋" w:hAnsi="仿宋" w:eastAsia="仿宋" w:cs="仿宋"/>
          <w:sz w:val="28"/>
          <w:szCs w:val="28"/>
          <w:highlight w:val="none"/>
        </w:rPr>
        <w:t>请求：</w:t>
      </w:r>
    </w:p>
    <w:p w14:paraId="2670CE4B">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68B17055">
      <w:pPr>
        <w:keepNext w:val="0"/>
        <w:keepLines w:val="0"/>
        <w:pageBreakBefore w:val="0"/>
        <w:widowControl w:val="0"/>
        <w:kinsoku/>
        <w:wordWrap/>
        <w:overflowPunct/>
        <w:topLinePunct w:val="0"/>
        <w:autoSpaceDE/>
        <w:autoSpaceDN/>
        <w:bidi w:val="0"/>
        <w:spacing w:line="460" w:lineRule="exact"/>
        <w:ind w:right="560" w:firstLine="560" w:firstLineChars="200"/>
        <w:textAlignment w:val="auto"/>
        <w:rPr>
          <w:rFonts w:ascii="仿宋" w:hAnsi="仿宋" w:eastAsia="仿宋"/>
          <w:sz w:val="28"/>
          <w:szCs w:val="28"/>
          <w:highlight w:val="none"/>
        </w:rPr>
      </w:pPr>
      <w:r>
        <w:rPr>
          <w:rFonts w:hint="eastAsia" w:ascii="仿宋_GB2312" w:eastAsia="仿宋_GB2312"/>
          <w:sz w:val="28"/>
          <w:szCs w:val="28"/>
          <w:highlight w:val="none"/>
        </w:rPr>
        <w:t>日期：</w:t>
      </w:r>
    </w:p>
    <w:p w14:paraId="4C170CD1">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9.10 质疑供应商对采购人、采购代理机构的答复不满意，或者采购人、采购代理机构未在规定时间内作出答复的，可以在答复期满后15个工作日内向财政部门提起投诉。</w:t>
      </w:r>
    </w:p>
    <w:p w14:paraId="70126B01">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9.11 投诉人投诉时,应当提交投诉书和必要的证明材料，并按照被投诉采购人、采购代理机构（以下简称被投诉人）和与投诉事项有关的供应商数量提供投诉书的副本。</w:t>
      </w:r>
    </w:p>
    <w:p w14:paraId="691FEDE6">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6D05893B">
      <w:pPr>
        <w:keepNext w:val="0"/>
        <w:keepLines w:val="0"/>
        <w:pageBreakBefore w:val="0"/>
        <w:widowControl w:val="0"/>
        <w:kinsoku/>
        <w:wordWrap/>
        <w:overflowPunct/>
        <w:topLinePunct w:val="0"/>
        <w:autoSpaceDE/>
        <w:autoSpaceDN/>
        <w:bidi w:val="0"/>
        <w:spacing w:line="460" w:lineRule="exact"/>
        <w:ind w:firstLine="560" w:firstLineChars="200"/>
        <w:jc w:val="left"/>
        <w:textAlignment w:val="auto"/>
        <w:rPr>
          <w:rFonts w:ascii="仿宋" w:hAnsi="仿宋" w:eastAsia="仿宋"/>
          <w:sz w:val="28"/>
          <w:szCs w:val="28"/>
          <w:highlight w:val="none"/>
        </w:rPr>
      </w:pPr>
      <w:r>
        <w:rPr>
          <w:rFonts w:hint="eastAsia" w:ascii="仿宋" w:hAnsi="仿宋" w:eastAsia="仿宋"/>
          <w:sz w:val="28"/>
          <w:szCs w:val="28"/>
          <w:highlight w:val="none"/>
        </w:rPr>
        <w:t>9.13 投诉人应当将投诉书送达如皋市财政局政府采购管理科（</w:t>
      </w:r>
      <w:r>
        <w:rPr>
          <w:rFonts w:ascii="仿宋" w:hAnsi="仿宋" w:eastAsia="仿宋"/>
          <w:sz w:val="28"/>
          <w:szCs w:val="28"/>
          <w:highlight w:val="none"/>
        </w:rPr>
        <w:t>如皋市解放路199号，行政中心</w:t>
      </w:r>
      <w:r>
        <w:rPr>
          <w:rFonts w:hint="eastAsia" w:ascii="仿宋" w:hAnsi="仿宋" w:eastAsia="仿宋"/>
          <w:sz w:val="28"/>
          <w:szCs w:val="28"/>
          <w:highlight w:val="none"/>
        </w:rPr>
        <w:t>A座814室，联系电话0513-87623860）。</w:t>
      </w:r>
    </w:p>
    <w:p w14:paraId="04A7EEB2">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9.14 投诉书范本</w:t>
      </w:r>
    </w:p>
    <w:p w14:paraId="1DBEF0FE">
      <w:pPr>
        <w:keepNext w:val="0"/>
        <w:keepLines w:val="0"/>
        <w:pageBreakBefore w:val="0"/>
        <w:widowControl w:val="0"/>
        <w:kinsoku/>
        <w:wordWrap/>
        <w:overflowPunct/>
        <w:topLinePunct w:val="0"/>
        <w:autoSpaceDE/>
        <w:autoSpaceDN/>
        <w:bidi w:val="0"/>
        <w:spacing w:line="460" w:lineRule="exact"/>
        <w:jc w:val="center"/>
        <w:textAlignment w:val="auto"/>
        <w:rPr>
          <w:rFonts w:ascii="宋体" w:hAnsi="宋体"/>
          <w:b/>
          <w:sz w:val="32"/>
          <w:szCs w:val="32"/>
          <w:highlight w:val="none"/>
        </w:rPr>
      </w:pPr>
      <w:r>
        <w:rPr>
          <w:rFonts w:hint="eastAsia" w:ascii="宋体" w:hAnsi="宋体"/>
          <w:b/>
          <w:sz w:val="32"/>
          <w:szCs w:val="32"/>
          <w:highlight w:val="none"/>
        </w:rPr>
        <w:t>投诉书</w:t>
      </w:r>
    </w:p>
    <w:p w14:paraId="3D5DC553">
      <w:pPr>
        <w:keepNext w:val="0"/>
        <w:keepLines w:val="0"/>
        <w:pageBreakBefore w:val="0"/>
        <w:widowControl w:val="0"/>
        <w:kinsoku/>
        <w:wordWrap/>
        <w:overflowPunct/>
        <w:topLinePunct w:val="0"/>
        <w:autoSpaceDE/>
        <w:autoSpaceDN/>
        <w:bidi w:val="0"/>
        <w:spacing w:line="460" w:lineRule="exact"/>
        <w:textAlignment w:val="auto"/>
        <w:rPr>
          <w:rFonts w:ascii="黑体" w:hAnsi="黑体" w:eastAsia="黑体"/>
          <w:sz w:val="28"/>
          <w:szCs w:val="28"/>
          <w:highlight w:val="none"/>
        </w:rPr>
      </w:pPr>
      <w:r>
        <w:rPr>
          <w:rFonts w:hint="eastAsia" w:ascii="黑体" w:hAnsi="黑体" w:eastAsia="黑体"/>
          <w:sz w:val="28"/>
          <w:szCs w:val="28"/>
          <w:highlight w:val="none"/>
        </w:rPr>
        <w:t>一、投诉相关主体基本情况</w:t>
      </w:r>
    </w:p>
    <w:p w14:paraId="233E88F4">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投诉人：</w:t>
      </w:r>
    </w:p>
    <w:p w14:paraId="07EB5707">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75F2FCA0">
      <w:pPr>
        <w:keepNext w:val="0"/>
        <w:keepLines w:val="0"/>
        <w:pageBreakBefore w:val="0"/>
        <w:widowControl w:val="0"/>
        <w:tabs>
          <w:tab w:val="left" w:pos="6510"/>
        </w:tabs>
        <w:kinsoku/>
        <w:wordWrap/>
        <w:overflowPunct/>
        <w:topLinePunct w:val="0"/>
        <w:autoSpaceDE/>
        <w:autoSpaceDN/>
        <w:bidi w:val="0"/>
        <w:spacing w:line="460" w:lineRule="exact"/>
        <w:jc w:val="left"/>
        <w:textAlignment w:val="auto"/>
        <w:rPr>
          <w:rFonts w:ascii="仿宋_GB2312" w:eastAsia="仿宋_GB2312"/>
          <w:sz w:val="28"/>
          <w:szCs w:val="28"/>
          <w:highlight w:val="none"/>
        </w:rPr>
      </w:pPr>
      <w:r>
        <w:rPr>
          <w:rFonts w:hint="eastAsia" w:ascii="仿宋_GB2312" w:eastAsia="仿宋_GB2312"/>
          <w:sz w:val="28"/>
          <w:szCs w:val="28"/>
          <w:highlight w:val="none"/>
        </w:rPr>
        <w:t>法定代表人/主要负责人：联系电话：</w:t>
      </w:r>
    </w:p>
    <w:p w14:paraId="7DD33F06">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授权代表：联系电话：</w:t>
      </w:r>
    </w:p>
    <w:p w14:paraId="7D2B8635">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地     址：邮编：</w:t>
      </w:r>
    </w:p>
    <w:p w14:paraId="693F0750">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被投诉人1：</w:t>
      </w:r>
    </w:p>
    <w:p w14:paraId="6AB45AF8">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12734B85">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4AB3EE17">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被投诉人2</w:t>
      </w:r>
    </w:p>
    <w:p w14:paraId="729B7C13">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w:t>
      </w:r>
    </w:p>
    <w:p w14:paraId="4653FBDA">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相关供应商：</w:t>
      </w:r>
    </w:p>
    <w:p w14:paraId="5815549D">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地     址：邮编：</w:t>
      </w:r>
    </w:p>
    <w:p w14:paraId="0CCD841D">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联系人：联系电话：</w:t>
      </w:r>
    </w:p>
    <w:p w14:paraId="6AE2FA5B">
      <w:pPr>
        <w:keepNext w:val="0"/>
        <w:keepLines w:val="0"/>
        <w:pageBreakBefore w:val="0"/>
        <w:widowControl w:val="0"/>
        <w:kinsoku/>
        <w:wordWrap/>
        <w:overflowPunct/>
        <w:topLinePunct w:val="0"/>
        <w:autoSpaceDE/>
        <w:autoSpaceDN/>
        <w:bidi w:val="0"/>
        <w:spacing w:line="460" w:lineRule="exact"/>
        <w:textAlignment w:val="auto"/>
        <w:rPr>
          <w:rFonts w:ascii="黑体" w:hAnsi="黑体" w:eastAsia="黑体"/>
          <w:sz w:val="28"/>
          <w:szCs w:val="28"/>
          <w:highlight w:val="none"/>
        </w:rPr>
      </w:pPr>
      <w:r>
        <w:rPr>
          <w:rFonts w:hint="eastAsia" w:ascii="黑体" w:hAnsi="黑体" w:eastAsia="黑体"/>
          <w:sz w:val="28"/>
          <w:szCs w:val="28"/>
          <w:highlight w:val="none"/>
        </w:rPr>
        <w:t>二、投诉项目基本情况</w:t>
      </w:r>
    </w:p>
    <w:p w14:paraId="582001BC">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采购项目名称：</w:t>
      </w:r>
    </w:p>
    <w:p w14:paraId="15650441">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采购项目编号：包号：</w:t>
      </w:r>
    </w:p>
    <w:p w14:paraId="2CDE6048">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采购人名称：</w:t>
      </w:r>
    </w:p>
    <w:p w14:paraId="2D3089D0">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代理机构名称：</w:t>
      </w:r>
    </w:p>
    <w:p w14:paraId="758C0A20">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2688079D">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公告期限：</w:t>
      </w:r>
    </w:p>
    <w:p w14:paraId="1D9EDCAD">
      <w:pPr>
        <w:keepNext w:val="0"/>
        <w:keepLines w:val="0"/>
        <w:pageBreakBefore w:val="0"/>
        <w:widowControl w:val="0"/>
        <w:kinsoku/>
        <w:wordWrap/>
        <w:overflowPunct/>
        <w:topLinePunct w:val="0"/>
        <w:autoSpaceDE/>
        <w:autoSpaceDN/>
        <w:bidi w:val="0"/>
        <w:spacing w:line="460" w:lineRule="exact"/>
        <w:textAlignment w:val="auto"/>
        <w:rPr>
          <w:rFonts w:ascii="黑体" w:hAnsi="黑体" w:eastAsia="黑体"/>
          <w:sz w:val="28"/>
          <w:szCs w:val="28"/>
          <w:highlight w:val="none"/>
        </w:rPr>
      </w:pPr>
      <w:r>
        <w:rPr>
          <w:rFonts w:hint="eastAsia" w:ascii="黑体" w:hAnsi="黑体" w:eastAsia="黑体"/>
          <w:sz w:val="28"/>
          <w:szCs w:val="28"/>
          <w:highlight w:val="none"/>
        </w:rPr>
        <w:t>三、质疑基本情况</w:t>
      </w:r>
    </w:p>
    <w:p w14:paraId="0522C476">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_GB2312" w:eastAsia="仿宋_GB2312"/>
          <w:sz w:val="28"/>
          <w:szCs w:val="28"/>
          <w:highlight w:val="none"/>
          <w:u w:val="dotted"/>
        </w:rPr>
      </w:pPr>
      <w:r>
        <w:rPr>
          <w:rFonts w:hint="eastAsia" w:ascii="仿宋_GB2312" w:eastAsia="仿宋_GB2312"/>
          <w:sz w:val="28"/>
          <w:szCs w:val="28"/>
          <w:highlight w:val="none"/>
        </w:rPr>
        <w:t>投诉人于年月日,向提出质疑，质疑事项为：</w:t>
      </w:r>
    </w:p>
    <w:p w14:paraId="3E3BC906">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p>
    <w:p w14:paraId="32A97F08">
      <w:pPr>
        <w:keepNext w:val="0"/>
        <w:keepLines w:val="0"/>
        <w:pageBreakBefore w:val="0"/>
        <w:widowControl w:val="0"/>
        <w:kinsoku/>
        <w:wordWrap/>
        <w:overflowPunct/>
        <w:topLinePunct w:val="0"/>
        <w:autoSpaceDE/>
        <w:autoSpaceDN/>
        <w:bidi w:val="0"/>
        <w:spacing w:line="460" w:lineRule="exact"/>
        <w:ind w:firstLine="420" w:firstLineChars="150"/>
        <w:textAlignment w:val="auto"/>
        <w:rPr>
          <w:rFonts w:ascii="仿宋_GB2312" w:eastAsia="仿宋_GB2312"/>
          <w:sz w:val="28"/>
          <w:szCs w:val="28"/>
          <w:highlight w:val="none"/>
        </w:rPr>
      </w:pPr>
      <w:r>
        <w:rPr>
          <w:rFonts w:hint="eastAsia" w:ascii="仿宋_GB2312" w:eastAsia="仿宋_GB2312"/>
          <w:sz w:val="28"/>
          <w:szCs w:val="28"/>
          <w:highlight w:val="none"/>
          <w:u w:val="dotted"/>
        </w:rPr>
        <w:t>采购人/代理机构</w:t>
      </w:r>
      <w:r>
        <w:rPr>
          <w:rFonts w:hint="eastAsia" w:ascii="仿宋_GB2312" w:eastAsia="仿宋_GB2312"/>
          <w:sz w:val="28"/>
          <w:szCs w:val="28"/>
          <w:highlight w:val="none"/>
        </w:rPr>
        <w:t>于年月日,就质疑事项作出了答复/没有在法定期限内作出答复。</w:t>
      </w:r>
    </w:p>
    <w:p w14:paraId="26BCC5C9">
      <w:pPr>
        <w:keepNext w:val="0"/>
        <w:keepLines w:val="0"/>
        <w:pageBreakBefore w:val="0"/>
        <w:widowControl w:val="0"/>
        <w:kinsoku/>
        <w:wordWrap/>
        <w:overflowPunct/>
        <w:topLinePunct w:val="0"/>
        <w:autoSpaceDE/>
        <w:autoSpaceDN/>
        <w:bidi w:val="0"/>
        <w:spacing w:line="460" w:lineRule="exact"/>
        <w:textAlignment w:val="auto"/>
        <w:rPr>
          <w:rFonts w:ascii="黑体" w:hAnsi="黑体" w:eastAsia="黑体"/>
          <w:sz w:val="28"/>
          <w:szCs w:val="28"/>
          <w:highlight w:val="none"/>
        </w:rPr>
      </w:pPr>
      <w:r>
        <w:rPr>
          <w:rFonts w:hint="eastAsia" w:ascii="黑体" w:hAnsi="黑体" w:eastAsia="黑体"/>
          <w:sz w:val="28"/>
          <w:szCs w:val="28"/>
          <w:highlight w:val="none"/>
        </w:rPr>
        <w:t>四、投诉事项具体内容</w:t>
      </w:r>
    </w:p>
    <w:p w14:paraId="5D5C06D6">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投诉事项 1：</w:t>
      </w:r>
    </w:p>
    <w:p w14:paraId="4F9A811E">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事实依据：</w:t>
      </w:r>
    </w:p>
    <w:p w14:paraId="7FBEFC8F">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p>
    <w:p w14:paraId="1AFD20E4">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r>
        <w:rPr>
          <w:rFonts w:hint="eastAsia" w:ascii="仿宋_GB2312" w:eastAsia="仿宋_GB2312"/>
          <w:sz w:val="28"/>
          <w:szCs w:val="28"/>
          <w:highlight w:val="none"/>
        </w:rPr>
        <w:t>法律依据：</w:t>
      </w:r>
    </w:p>
    <w:p w14:paraId="7A381363">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p>
    <w:p w14:paraId="2E5C084F">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投诉事项2</w:t>
      </w:r>
    </w:p>
    <w:p w14:paraId="679D1259">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dotted"/>
        </w:rPr>
      </w:pPr>
      <w:r>
        <w:rPr>
          <w:rFonts w:hint="eastAsia" w:ascii="仿宋_GB2312" w:eastAsia="仿宋_GB2312"/>
          <w:sz w:val="28"/>
          <w:szCs w:val="28"/>
          <w:highlight w:val="none"/>
        </w:rPr>
        <w:t>……</w:t>
      </w:r>
    </w:p>
    <w:p w14:paraId="1AC7E049">
      <w:pPr>
        <w:keepNext w:val="0"/>
        <w:keepLines w:val="0"/>
        <w:pageBreakBefore w:val="0"/>
        <w:widowControl w:val="0"/>
        <w:kinsoku/>
        <w:wordWrap/>
        <w:overflowPunct/>
        <w:topLinePunct w:val="0"/>
        <w:autoSpaceDE/>
        <w:autoSpaceDN/>
        <w:bidi w:val="0"/>
        <w:spacing w:line="460" w:lineRule="exact"/>
        <w:textAlignment w:val="auto"/>
        <w:rPr>
          <w:rFonts w:ascii="黑体" w:hAnsi="黑体" w:eastAsia="黑体"/>
          <w:sz w:val="28"/>
          <w:szCs w:val="28"/>
          <w:highlight w:val="none"/>
        </w:rPr>
      </w:pPr>
      <w:r>
        <w:rPr>
          <w:rFonts w:hint="eastAsia" w:ascii="黑体" w:hAnsi="黑体" w:eastAsia="黑体"/>
          <w:sz w:val="28"/>
          <w:szCs w:val="28"/>
          <w:highlight w:val="none"/>
        </w:rPr>
        <w:t>五、与投诉事项相关的投诉请求</w:t>
      </w:r>
    </w:p>
    <w:p w14:paraId="3A01D96A">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请求：</w:t>
      </w:r>
    </w:p>
    <w:p w14:paraId="73656472">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u w:val="single"/>
        </w:rPr>
      </w:pPr>
    </w:p>
    <w:p w14:paraId="08D09EEF">
      <w:pPr>
        <w:keepNext w:val="0"/>
        <w:keepLines w:val="0"/>
        <w:pageBreakBefore w:val="0"/>
        <w:widowControl w:val="0"/>
        <w:kinsoku/>
        <w:wordWrap/>
        <w:overflowPunct/>
        <w:topLinePunct w:val="0"/>
        <w:autoSpaceDE/>
        <w:autoSpaceDN/>
        <w:bidi w:val="0"/>
        <w:spacing w:line="460" w:lineRule="exact"/>
        <w:textAlignment w:val="auto"/>
        <w:rPr>
          <w:rFonts w:ascii="仿宋_GB2312" w:eastAsia="仿宋_GB2312"/>
          <w:sz w:val="28"/>
          <w:szCs w:val="28"/>
          <w:highlight w:val="none"/>
        </w:rPr>
      </w:pPr>
      <w:r>
        <w:rPr>
          <w:rFonts w:hint="eastAsia" w:ascii="仿宋_GB2312" w:eastAsia="仿宋_GB2312"/>
          <w:sz w:val="28"/>
          <w:szCs w:val="28"/>
          <w:highlight w:val="none"/>
        </w:rPr>
        <w:t xml:space="preserve">签字(签章)：                   公章：                      </w:t>
      </w:r>
    </w:p>
    <w:p w14:paraId="459606D9">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仿宋" w:hAnsi="仿宋" w:eastAsia="仿宋"/>
          <w:sz w:val="28"/>
          <w:szCs w:val="28"/>
          <w:highlight w:val="none"/>
        </w:rPr>
      </w:pPr>
      <w:r>
        <w:rPr>
          <w:rFonts w:hint="eastAsia" w:ascii="仿宋_GB2312" w:eastAsia="仿宋_GB2312"/>
          <w:sz w:val="28"/>
          <w:szCs w:val="28"/>
          <w:highlight w:val="none"/>
        </w:rPr>
        <w:t xml:space="preserve">日期：    </w:t>
      </w:r>
    </w:p>
    <w:bookmarkEnd w:id="4"/>
    <w:bookmarkEnd w:id="47"/>
    <w:bookmarkEnd w:id="48"/>
    <w:bookmarkEnd w:id="49"/>
    <w:p w14:paraId="23AC4289">
      <w:pPr>
        <w:keepNext w:val="0"/>
        <w:keepLines w:val="0"/>
        <w:pageBreakBefore w:val="0"/>
        <w:widowControl w:val="0"/>
        <w:kinsoku/>
        <w:wordWrap/>
        <w:overflowPunct/>
        <w:topLinePunct w:val="0"/>
        <w:autoSpaceDE/>
        <w:autoSpaceDN/>
        <w:bidi w:val="0"/>
        <w:spacing w:line="460" w:lineRule="exact"/>
        <w:ind w:firstLine="560" w:firstLineChars="200"/>
        <w:jc w:val="left"/>
        <w:textAlignment w:val="auto"/>
        <w:rPr>
          <w:rFonts w:ascii="仿宋" w:hAnsi="仿宋" w:eastAsia="仿宋"/>
          <w:sz w:val="28"/>
          <w:szCs w:val="28"/>
          <w:highlight w:val="none"/>
        </w:rPr>
      </w:pPr>
      <w:r>
        <w:rPr>
          <w:rFonts w:hint="eastAsia" w:ascii="黑体" w:hAnsi="黑体" w:eastAsia="黑体"/>
          <w:sz w:val="28"/>
          <w:szCs w:val="28"/>
          <w:highlight w:val="none"/>
        </w:rPr>
        <w:t>10. 政府采购合同信用融资扶持政策</w:t>
      </w:r>
    </w:p>
    <w:p w14:paraId="1E717BF9">
      <w:pPr>
        <w:keepNext w:val="0"/>
        <w:keepLines w:val="0"/>
        <w:pageBreakBefore w:val="0"/>
        <w:widowControl w:val="0"/>
        <w:kinsoku/>
        <w:wordWrap/>
        <w:overflowPunct/>
        <w:topLinePunct w:val="0"/>
        <w:autoSpaceDE/>
        <w:autoSpaceDN/>
        <w:bidi w:val="0"/>
        <w:spacing w:line="460" w:lineRule="exact"/>
        <w:ind w:firstLine="560" w:firstLineChars="200"/>
        <w:jc w:val="left"/>
        <w:textAlignment w:val="auto"/>
        <w:rPr>
          <w:rFonts w:ascii="仿宋" w:hAnsi="仿宋" w:eastAsia="仿宋"/>
          <w:sz w:val="28"/>
          <w:szCs w:val="28"/>
          <w:highlight w:val="none"/>
        </w:rPr>
      </w:pPr>
      <w:r>
        <w:rPr>
          <w:rFonts w:hint="eastAsia" w:ascii="仿宋" w:hAnsi="仿宋" w:eastAsia="仿宋"/>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30429885">
      <w:pPr>
        <w:keepNext w:val="0"/>
        <w:keepLines w:val="0"/>
        <w:pageBreakBefore w:val="0"/>
        <w:widowControl w:val="0"/>
        <w:kinsoku/>
        <w:wordWrap/>
        <w:overflowPunct/>
        <w:topLinePunct w:val="0"/>
        <w:autoSpaceDE/>
        <w:autoSpaceDN/>
        <w:bidi w:val="0"/>
        <w:spacing w:line="460" w:lineRule="exact"/>
        <w:ind w:firstLine="560" w:firstLineChars="200"/>
        <w:jc w:val="left"/>
        <w:textAlignment w:val="auto"/>
        <w:rPr>
          <w:rFonts w:ascii="仿宋" w:hAnsi="仿宋" w:eastAsia="仿宋"/>
          <w:sz w:val="28"/>
          <w:szCs w:val="28"/>
          <w:highlight w:val="none"/>
        </w:rPr>
      </w:pPr>
      <w:r>
        <w:rPr>
          <w:rFonts w:hint="eastAsia" w:ascii="仿宋" w:hAnsi="仿宋" w:eastAsia="仿宋"/>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2D647B36">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ascii="黑体" w:hAnsi="黑体" w:eastAsia="黑体"/>
          <w:sz w:val="28"/>
          <w:szCs w:val="28"/>
          <w:highlight w:val="none"/>
        </w:rPr>
      </w:pPr>
      <w:r>
        <w:rPr>
          <w:rFonts w:hint="eastAsia" w:ascii="黑体" w:hAnsi="黑体" w:eastAsia="黑体"/>
          <w:sz w:val="28"/>
          <w:szCs w:val="28"/>
          <w:highlight w:val="none"/>
        </w:rPr>
        <w:t>11. 采购代理服务费</w:t>
      </w:r>
    </w:p>
    <w:p w14:paraId="4D5F585E">
      <w:pPr>
        <w:keepNext w:val="0"/>
        <w:keepLines w:val="0"/>
        <w:pageBreakBefore w:val="0"/>
        <w:widowControl w:val="0"/>
        <w:kinsoku/>
        <w:wordWrap/>
        <w:overflowPunct/>
        <w:topLinePunct w:val="0"/>
        <w:autoSpaceDE/>
        <w:autoSpaceDN/>
        <w:bidi w:val="0"/>
        <w:spacing w:line="460" w:lineRule="exact"/>
        <w:ind w:firstLine="560" w:firstLineChars="200"/>
        <w:jc w:val="left"/>
        <w:rPr>
          <w:rFonts w:hint="eastAsia" w:ascii="仿宋" w:hAnsi="仿宋" w:eastAsia="仿宋" w:cs="Times New Roman"/>
          <w:b w:val="0"/>
          <w:bCs w:val="0"/>
          <w:sz w:val="28"/>
          <w:szCs w:val="28"/>
          <w:highlight w:val="none"/>
          <w:lang w:val="zh-CN"/>
        </w:rPr>
      </w:pPr>
      <w:r>
        <w:rPr>
          <w:rFonts w:hint="eastAsia" w:ascii="仿宋" w:hAnsi="仿宋" w:eastAsia="仿宋"/>
          <w:sz w:val="28"/>
          <w:szCs w:val="28"/>
          <w:highlight w:val="none"/>
          <w:lang w:val="en-US" w:eastAsia="zh-CN"/>
        </w:rPr>
        <w:t>11.1</w:t>
      </w:r>
      <w:r>
        <w:rPr>
          <w:rFonts w:hint="eastAsia" w:ascii="仿宋" w:hAnsi="仿宋" w:eastAsia="仿宋"/>
          <w:sz w:val="28"/>
          <w:szCs w:val="28"/>
          <w:highlight w:val="none"/>
        </w:rPr>
        <w:t xml:space="preserve"> </w:t>
      </w:r>
      <w:r>
        <w:rPr>
          <w:rFonts w:hint="eastAsia" w:ascii="仿宋" w:hAnsi="仿宋" w:eastAsia="仿宋" w:cs="Times New Roman"/>
          <w:sz w:val="28"/>
          <w:szCs w:val="28"/>
          <w:highlight w:val="none"/>
        </w:rPr>
        <w:t>采购代理服务费收取标准：</w:t>
      </w:r>
      <w:r>
        <w:rPr>
          <w:rFonts w:hint="eastAsia" w:ascii="仿宋" w:hAnsi="仿宋" w:eastAsia="仿宋" w:cs="Times New Roman"/>
          <w:b w:val="0"/>
          <w:bCs w:val="0"/>
          <w:sz w:val="28"/>
          <w:szCs w:val="28"/>
          <w:highlight w:val="none"/>
          <w:lang w:val="zh-CN"/>
        </w:rPr>
        <w:t>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4A43527C">
      <w:pPr>
        <w:keepNext w:val="0"/>
        <w:keepLines w:val="0"/>
        <w:pageBreakBefore w:val="0"/>
        <w:widowControl w:val="0"/>
        <w:kinsoku/>
        <w:wordWrap/>
        <w:overflowPunct/>
        <w:topLinePunct w:val="0"/>
        <w:autoSpaceDE/>
        <w:autoSpaceDN/>
        <w:bidi w:val="0"/>
        <w:spacing w:line="460" w:lineRule="exact"/>
        <w:ind w:firstLine="560" w:firstLineChars="200"/>
        <w:jc w:val="left"/>
        <w:rPr>
          <w:rFonts w:ascii="仿宋" w:hAnsi="仿宋" w:eastAsia="仿宋" w:cs="Times New Roman"/>
          <w:sz w:val="28"/>
          <w:szCs w:val="28"/>
          <w:highlight w:val="none"/>
        </w:rPr>
      </w:pPr>
      <w:r>
        <w:rPr>
          <w:rFonts w:hint="eastAsia" w:ascii="仿宋" w:hAnsi="仿宋" w:eastAsia="仿宋" w:cs="Times New Roman"/>
          <w:sz w:val="28"/>
          <w:szCs w:val="28"/>
          <w:highlight w:val="none"/>
        </w:rPr>
        <w:t>11.2 采购代理服务费由成交供应商支付。成交供应商自成交结果公告发布之日起五个工作日内，向采购代理机构支付服务费。</w:t>
      </w:r>
    </w:p>
    <w:p w14:paraId="6ABA233F">
      <w:pPr>
        <w:keepNext w:val="0"/>
        <w:keepLines w:val="0"/>
        <w:pageBreakBefore w:val="0"/>
        <w:widowControl w:val="0"/>
        <w:kinsoku/>
        <w:wordWrap/>
        <w:overflowPunct/>
        <w:topLinePunct w:val="0"/>
        <w:autoSpaceDE/>
        <w:autoSpaceDN/>
        <w:bidi w:val="0"/>
        <w:spacing w:line="460" w:lineRule="exact"/>
        <w:ind w:firstLine="560" w:firstLineChars="20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11.3 采购代理机构账户信息：</w:t>
      </w:r>
    </w:p>
    <w:p w14:paraId="6DF1290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收款单位名称为：江苏建威建设管理有限公司如皋分公司；</w:t>
      </w:r>
    </w:p>
    <w:p w14:paraId="10D5F53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账户号码：</w:t>
      </w:r>
      <w:r>
        <w:rPr>
          <w:rFonts w:hint="eastAsia" w:ascii="仿宋" w:hAnsi="仿宋" w:eastAsia="仿宋"/>
          <w:sz w:val="28"/>
          <w:szCs w:val="28"/>
          <w:highlight w:val="none"/>
        </w:rPr>
        <w:t>50380188000109368</w:t>
      </w:r>
      <w:r>
        <w:rPr>
          <w:rFonts w:hint="eastAsia" w:ascii="仿宋" w:hAnsi="仿宋" w:eastAsia="仿宋" w:cs="仿宋"/>
          <w:sz w:val="28"/>
          <w:szCs w:val="28"/>
          <w:highlight w:val="none"/>
        </w:rPr>
        <w:t>；</w:t>
      </w:r>
    </w:p>
    <w:p w14:paraId="4ACF94A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eastAsia="仿宋"/>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开户行：</w:t>
      </w:r>
      <w:r>
        <w:rPr>
          <w:rFonts w:hint="eastAsia" w:ascii="仿宋" w:hAnsi="仿宋" w:eastAsia="仿宋"/>
          <w:sz w:val="28"/>
          <w:szCs w:val="28"/>
          <w:highlight w:val="none"/>
        </w:rPr>
        <w:t>江苏银行如皋支行。</w:t>
      </w:r>
    </w:p>
    <w:p w14:paraId="70DCB787">
      <w:pPr>
        <w:keepNext w:val="0"/>
        <w:keepLines w:val="0"/>
        <w:pageBreakBefore w:val="0"/>
        <w:widowControl w:val="0"/>
        <w:kinsoku/>
        <w:wordWrap/>
        <w:overflowPunct/>
        <w:topLinePunct w:val="0"/>
        <w:autoSpaceDE/>
        <w:autoSpaceDN/>
        <w:bidi w:val="0"/>
        <w:spacing w:line="460" w:lineRule="exact"/>
        <w:ind w:firstLine="560"/>
        <w:jc w:val="left"/>
        <w:outlineLvl w:val="1"/>
        <w:rPr>
          <w:rFonts w:hint="eastAsia" w:ascii="黑体" w:hAnsi="黑体" w:eastAsia="黑体" w:cs="Times New Roman"/>
          <w:sz w:val="28"/>
          <w:szCs w:val="28"/>
          <w:highlight w:val="none"/>
        </w:rPr>
      </w:pPr>
      <w:r>
        <w:rPr>
          <w:rFonts w:hint="eastAsia" w:ascii="黑体" w:hAnsi="黑体" w:eastAsia="黑体" w:cs="Times New Roman"/>
          <w:sz w:val="28"/>
          <w:szCs w:val="28"/>
          <w:highlight w:val="none"/>
        </w:rPr>
        <w:t>1</w:t>
      </w:r>
      <w:r>
        <w:rPr>
          <w:rFonts w:hint="eastAsia" w:ascii="黑体" w:hAnsi="黑体" w:eastAsia="黑体" w:cs="Times New Roman"/>
          <w:sz w:val="28"/>
          <w:szCs w:val="28"/>
          <w:highlight w:val="none"/>
          <w:lang w:val="en-US" w:eastAsia="zh-CN"/>
        </w:rPr>
        <w:t>2</w:t>
      </w:r>
      <w:r>
        <w:rPr>
          <w:rFonts w:hint="eastAsia" w:ascii="黑体" w:hAnsi="黑体" w:eastAsia="黑体" w:cs="Times New Roman"/>
          <w:sz w:val="28"/>
          <w:szCs w:val="28"/>
          <w:highlight w:val="none"/>
        </w:rPr>
        <w:t>.其他事项</w:t>
      </w:r>
    </w:p>
    <w:p w14:paraId="33D4C23E">
      <w:pPr>
        <w:keepNext w:val="0"/>
        <w:keepLines w:val="0"/>
        <w:pageBreakBefore w:val="0"/>
        <w:widowControl w:val="0"/>
        <w:kinsoku/>
        <w:wordWrap/>
        <w:overflowPunct/>
        <w:topLinePunct w:val="0"/>
        <w:autoSpaceDE/>
        <w:autoSpaceDN/>
        <w:bidi w:val="0"/>
        <w:spacing w:line="46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12.1</w:t>
      </w:r>
      <w:r>
        <w:rPr>
          <w:rFonts w:hint="eastAsia" w:ascii="仿宋" w:hAnsi="仿宋" w:eastAsia="仿宋" w:cs="Times New Roman"/>
          <w:sz w:val="28"/>
          <w:szCs w:val="28"/>
          <w:highlight w:val="none"/>
        </w:rPr>
        <w:t>产品要求：</w:t>
      </w:r>
    </w:p>
    <w:p w14:paraId="358E3F1F">
      <w:pPr>
        <w:keepNext w:val="0"/>
        <w:keepLines w:val="0"/>
        <w:pageBreakBefore w:val="0"/>
        <w:widowControl w:val="0"/>
        <w:kinsoku/>
        <w:wordWrap/>
        <w:overflowPunct/>
        <w:topLinePunct w:val="0"/>
        <w:autoSpaceDE/>
        <w:autoSpaceDN/>
        <w:bidi w:val="0"/>
        <w:spacing w:line="46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产品必须是全新、未使用过的原装合格正品，完全符合采购文件规定的质量、规格和性能的要求，达到国家或行业规定的标准，实行生产许可证制度的，应提供生产许可证；属于国家强制认证的产品，必须通过认证。</w:t>
      </w:r>
    </w:p>
    <w:p w14:paraId="0E15C5FE">
      <w:pPr>
        <w:keepNext w:val="0"/>
        <w:keepLines w:val="0"/>
        <w:pageBreakBefore w:val="0"/>
        <w:widowControl w:val="0"/>
        <w:kinsoku/>
        <w:wordWrap/>
        <w:overflowPunct/>
        <w:topLinePunct w:val="0"/>
        <w:autoSpaceDE/>
        <w:autoSpaceDN/>
        <w:bidi w:val="0"/>
        <w:spacing w:line="460" w:lineRule="exact"/>
        <w:ind w:firstLine="560"/>
        <w:jc w:val="lef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12.2</w:t>
      </w:r>
      <w:r>
        <w:rPr>
          <w:rFonts w:hint="eastAsia" w:ascii="仿宋" w:hAnsi="仿宋" w:eastAsia="仿宋" w:cs="Times New Roman"/>
          <w:sz w:val="28"/>
          <w:szCs w:val="28"/>
          <w:highlight w:val="none"/>
        </w:rPr>
        <w:t>产品品牌与型号：</w:t>
      </w:r>
    </w:p>
    <w:p w14:paraId="4D8A8FFC">
      <w:pPr>
        <w:pStyle w:val="37"/>
        <w:keepNext w:val="0"/>
        <w:keepLines w:val="0"/>
        <w:pageBreakBefore w:val="0"/>
        <w:widowControl w:val="0"/>
        <w:kinsoku/>
        <w:wordWrap/>
        <w:overflowPunct/>
        <w:topLinePunct w:val="0"/>
        <w:autoSpaceDE/>
        <w:autoSpaceDN/>
        <w:bidi w:val="0"/>
        <w:snapToGrid/>
        <w:spacing w:before="0" w:after="0" w:line="460" w:lineRule="exact"/>
        <w:ind w:firstLine="0"/>
        <w:jc w:val="left"/>
        <w:rPr>
          <w:rFonts w:ascii="方正小标宋简体" w:eastAsia="方正小标宋简体"/>
          <w:bCs/>
          <w:sz w:val="44"/>
          <w:szCs w:val="28"/>
          <w:highlight w:val="none"/>
        </w:rPr>
      </w:pPr>
      <w:r>
        <w:rPr>
          <w:rFonts w:hint="eastAsia" w:ascii="仿宋" w:hAnsi="仿宋" w:eastAsia="仿宋" w:cs="Times New Roman"/>
          <w:sz w:val="28"/>
          <w:szCs w:val="28"/>
          <w:highlight w:val="none"/>
        </w:rPr>
        <w:t>供应商响应文件中必须明确主要产品的品牌、规格型号、性能指标等内容，可附产品介绍图文资料。供应商响应文件未明确主要产品的品牌、规格型号、性能指标等内容的，视为无效响应文件。</w:t>
      </w:r>
    </w:p>
    <w:p w14:paraId="34878DBD">
      <w:pPr>
        <w:pStyle w:val="37"/>
        <w:keepNext w:val="0"/>
        <w:keepLines w:val="0"/>
        <w:pageBreakBefore w:val="0"/>
        <w:widowControl w:val="0"/>
        <w:kinsoku/>
        <w:wordWrap/>
        <w:overflowPunct/>
        <w:topLinePunct w:val="0"/>
        <w:autoSpaceDE/>
        <w:autoSpaceDN/>
        <w:bidi w:val="0"/>
        <w:snapToGrid/>
        <w:spacing w:before="0" w:after="0" w:line="460" w:lineRule="exact"/>
        <w:ind w:firstLine="0"/>
        <w:jc w:val="center"/>
        <w:rPr>
          <w:rFonts w:ascii="方正小标宋简体" w:eastAsia="方正小标宋简体"/>
          <w:bCs/>
          <w:sz w:val="32"/>
          <w:szCs w:val="32"/>
          <w:highlight w:val="none"/>
        </w:rPr>
      </w:pPr>
      <w:r>
        <w:rPr>
          <w:rFonts w:ascii="方正小标宋简体" w:eastAsia="方正小标宋简体"/>
          <w:bCs/>
          <w:sz w:val="44"/>
          <w:szCs w:val="28"/>
          <w:highlight w:val="none"/>
        </w:rPr>
        <w:br w:type="page"/>
      </w:r>
      <w:r>
        <w:rPr>
          <w:rFonts w:hint="eastAsia" w:ascii="方正小标宋简体" w:eastAsia="方正小标宋简体"/>
          <w:bCs/>
          <w:sz w:val="32"/>
          <w:szCs w:val="32"/>
          <w:highlight w:val="none"/>
        </w:rPr>
        <w:t>第3章 采购需求</w:t>
      </w:r>
    </w:p>
    <w:p w14:paraId="40C39ABC">
      <w:pPr>
        <w:keepNext w:val="0"/>
        <w:keepLines w:val="0"/>
        <w:pageBreakBefore w:val="0"/>
        <w:widowControl w:val="0"/>
        <w:kinsoku/>
        <w:wordWrap/>
        <w:overflowPunct/>
        <w:topLinePunct w:val="0"/>
        <w:autoSpaceDE/>
        <w:autoSpaceDN/>
        <w:bidi w:val="0"/>
        <w:snapToGrid/>
        <w:spacing w:line="460" w:lineRule="exact"/>
        <w:ind w:firstLine="562" w:firstLineChars="200"/>
        <w:jc w:val="left"/>
        <w:rPr>
          <w:rFonts w:ascii="仿宋" w:hAnsi="仿宋" w:eastAsia="仿宋"/>
          <w:b/>
          <w:bCs/>
          <w:sz w:val="28"/>
          <w:szCs w:val="28"/>
          <w:highlight w:val="none"/>
        </w:rPr>
      </w:pPr>
      <w:r>
        <w:rPr>
          <w:rFonts w:ascii="仿宋" w:hAnsi="仿宋" w:eastAsia="仿宋"/>
          <w:b/>
          <w:bCs/>
          <w:sz w:val="28"/>
          <w:szCs w:val="28"/>
          <w:highlight w:val="none"/>
        </w:rPr>
        <w:t>供应商在制作</w:t>
      </w:r>
      <w:r>
        <w:rPr>
          <w:rFonts w:hint="eastAsia" w:ascii="仿宋" w:hAnsi="仿宋" w:eastAsia="仿宋"/>
          <w:b/>
          <w:bCs/>
          <w:sz w:val="28"/>
          <w:szCs w:val="28"/>
          <w:highlight w:val="none"/>
        </w:rPr>
        <w:t>响应</w:t>
      </w:r>
      <w:r>
        <w:rPr>
          <w:rFonts w:ascii="仿宋" w:hAnsi="仿宋" w:eastAsia="仿宋"/>
          <w:b/>
          <w:bCs/>
          <w:sz w:val="28"/>
          <w:szCs w:val="28"/>
          <w:highlight w:val="none"/>
        </w:rPr>
        <w:t>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A8B77A0">
      <w:pPr>
        <w:pStyle w:val="37"/>
        <w:keepNext w:val="0"/>
        <w:keepLines w:val="0"/>
        <w:pageBreakBefore w:val="0"/>
        <w:widowControl w:val="0"/>
        <w:kinsoku/>
        <w:wordWrap/>
        <w:overflowPunct/>
        <w:topLinePunct w:val="0"/>
        <w:autoSpaceDE/>
        <w:autoSpaceDN/>
        <w:bidi w:val="0"/>
        <w:snapToGrid/>
        <w:spacing w:before="0" w:after="0" w:line="460" w:lineRule="exact"/>
        <w:ind w:firstLine="562" w:firstLineChars="200"/>
        <w:rPr>
          <w:rFonts w:ascii="方正小标宋简体" w:eastAsia="方正小标宋简体"/>
          <w:bCs/>
          <w:sz w:val="32"/>
          <w:szCs w:val="32"/>
          <w:highlight w:val="none"/>
        </w:rPr>
      </w:pPr>
      <w:r>
        <w:rPr>
          <w:rFonts w:hint="eastAsia" w:ascii="仿宋" w:hAnsi="仿宋" w:eastAsia="仿宋"/>
          <w:b/>
          <w:bCs/>
          <w:sz w:val="28"/>
          <w:szCs w:val="28"/>
          <w:highlight w:val="none"/>
        </w:rPr>
        <w:t>供</w:t>
      </w:r>
      <w:r>
        <w:rPr>
          <w:rFonts w:ascii="仿宋" w:hAnsi="仿宋" w:eastAsia="仿宋"/>
          <w:b/>
          <w:bCs/>
          <w:sz w:val="28"/>
          <w:szCs w:val="28"/>
          <w:highlight w:val="none"/>
        </w:rPr>
        <w:t>应商不能简单照搬照抄</w:t>
      </w:r>
      <w:r>
        <w:rPr>
          <w:rFonts w:hint="eastAsia" w:ascii="仿宋" w:hAnsi="仿宋" w:eastAsia="仿宋"/>
          <w:b/>
          <w:bCs/>
          <w:sz w:val="28"/>
          <w:szCs w:val="28"/>
          <w:highlight w:val="none"/>
        </w:rPr>
        <w:t>磋商</w:t>
      </w:r>
      <w:r>
        <w:rPr>
          <w:rFonts w:ascii="仿宋" w:hAnsi="仿宋" w:eastAsia="仿宋"/>
          <w:b/>
          <w:bCs/>
          <w:sz w:val="28"/>
          <w:szCs w:val="28"/>
          <w:highlight w:val="none"/>
        </w:rPr>
        <w:t>文件项目需求说明中的技术、商务要求，必须作实事求是的响应。如响应供应商提供的货物和服务同</w:t>
      </w:r>
      <w:r>
        <w:rPr>
          <w:rFonts w:hint="eastAsia" w:ascii="仿宋" w:hAnsi="仿宋" w:eastAsia="仿宋"/>
          <w:b/>
          <w:bCs/>
          <w:sz w:val="28"/>
          <w:szCs w:val="28"/>
          <w:highlight w:val="none"/>
        </w:rPr>
        <w:t>采购人</w:t>
      </w:r>
      <w:r>
        <w:rPr>
          <w:rFonts w:ascii="仿宋" w:hAnsi="仿宋" w:eastAsia="仿宋"/>
          <w:b/>
          <w:bCs/>
          <w:sz w:val="28"/>
          <w:szCs w:val="28"/>
          <w:highlight w:val="none"/>
        </w:rPr>
        <w:t>提出的项目需求说明中的技术、商务要求不同的，必须在《商务部分正负偏离表》和《技术部分正负偏离表》上明示</w:t>
      </w:r>
      <w:r>
        <w:rPr>
          <w:rFonts w:hint="eastAsia" w:ascii="仿宋" w:hAnsi="仿宋" w:eastAsia="仿宋"/>
          <w:b/>
          <w:bCs/>
          <w:sz w:val="28"/>
          <w:szCs w:val="28"/>
          <w:highlight w:val="none"/>
        </w:rPr>
        <w:t>。</w:t>
      </w:r>
    </w:p>
    <w:p w14:paraId="6F868E3D">
      <w:pPr>
        <w:keepNext w:val="0"/>
        <w:keepLines w:val="0"/>
        <w:pageBreakBefore w:val="0"/>
        <w:widowControl w:val="0"/>
        <w:kinsoku/>
        <w:wordWrap/>
        <w:overflowPunct/>
        <w:topLinePunct w:val="0"/>
        <w:autoSpaceDE/>
        <w:autoSpaceDN/>
        <w:bidi w:val="0"/>
        <w:snapToGrid/>
        <w:spacing w:line="46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一、项目简介</w:t>
      </w:r>
    </w:p>
    <w:p w14:paraId="643C1461">
      <w:pPr>
        <w:spacing w:line="500" w:lineRule="exact"/>
        <w:ind w:firstLine="560" w:firstLineChars="200"/>
        <w:outlineLvl w:val="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如皋市高级技工学校钳工职业技能鉴定设备</w:t>
      </w:r>
    </w:p>
    <w:p w14:paraId="7039274D">
      <w:pPr>
        <w:spacing w:line="50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二、采购内容</w:t>
      </w:r>
    </w:p>
    <w:p w14:paraId="414E2632">
      <w:pPr>
        <w:spacing w:line="500" w:lineRule="exact"/>
        <w:ind w:firstLine="560"/>
        <w:rPr>
          <w:rFonts w:hint="eastAsia" w:ascii="黑体" w:hAnsi="黑体" w:eastAsia="黑体" w:cs="Times New Roman"/>
          <w:sz w:val="28"/>
          <w:szCs w:val="28"/>
          <w:highlight w:val="none"/>
        </w:rPr>
      </w:pPr>
      <w:r>
        <w:rPr>
          <w:rFonts w:hint="eastAsia" w:ascii="仿宋" w:hAnsi="仿宋" w:eastAsia="仿宋" w:cs="Times New Roman"/>
          <w:sz w:val="28"/>
          <w:szCs w:val="28"/>
          <w:highlight w:val="none"/>
          <w:lang w:val="en-US" w:eastAsia="zh-CN"/>
        </w:rPr>
        <w:t>（一）设备</w:t>
      </w:r>
      <w:r>
        <w:rPr>
          <w:rFonts w:hint="eastAsia" w:ascii="仿宋" w:hAnsi="仿宋" w:eastAsia="仿宋" w:cs="Times New Roman"/>
          <w:sz w:val="28"/>
          <w:szCs w:val="28"/>
          <w:highlight w:val="none"/>
          <w:lang w:eastAsia="zh-CN"/>
        </w:rPr>
        <w:t>采购</w:t>
      </w:r>
      <w:r>
        <w:rPr>
          <w:rFonts w:hint="eastAsia" w:ascii="仿宋" w:hAnsi="仿宋" w:eastAsia="仿宋" w:cs="Times New Roman"/>
          <w:sz w:val="28"/>
          <w:szCs w:val="28"/>
          <w:highlight w:val="none"/>
          <w:lang w:val="en-US" w:eastAsia="zh-CN"/>
        </w:rPr>
        <w:t>清单</w:t>
      </w:r>
      <w:r>
        <w:rPr>
          <w:rFonts w:hint="eastAsia" w:ascii="仿宋" w:hAnsi="仿宋" w:eastAsia="仿宋" w:cs="Times New Roman"/>
          <w:color w:val="auto"/>
          <w:sz w:val="28"/>
          <w:szCs w:val="28"/>
          <w:highlight w:val="none"/>
        </w:rPr>
        <w:t>：</w:t>
      </w:r>
    </w:p>
    <w:tbl>
      <w:tblPr>
        <w:tblStyle w:val="19"/>
        <w:tblW w:w="46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6520"/>
        <w:gridCol w:w="1453"/>
      </w:tblGrid>
      <w:tr w14:paraId="3D1E5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7" w:type="pct"/>
            <w:noWrap w:val="0"/>
            <w:vAlign w:val="center"/>
          </w:tcPr>
          <w:p w14:paraId="4C63C8BC">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序号</w:t>
            </w:r>
          </w:p>
        </w:tc>
        <w:tc>
          <w:tcPr>
            <w:tcW w:w="3698" w:type="pct"/>
            <w:noWrap w:val="0"/>
            <w:vAlign w:val="center"/>
          </w:tcPr>
          <w:p w14:paraId="256F4022">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设备名称</w:t>
            </w:r>
          </w:p>
        </w:tc>
        <w:tc>
          <w:tcPr>
            <w:tcW w:w="824" w:type="pct"/>
            <w:noWrap w:val="0"/>
            <w:vAlign w:val="center"/>
          </w:tcPr>
          <w:p w14:paraId="36194006">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数量</w:t>
            </w:r>
          </w:p>
        </w:tc>
      </w:tr>
      <w:tr w14:paraId="142E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7" w:type="pct"/>
            <w:noWrap w:val="0"/>
            <w:vAlign w:val="center"/>
          </w:tcPr>
          <w:p w14:paraId="60AF18D7">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w:t>
            </w:r>
          </w:p>
        </w:tc>
        <w:tc>
          <w:tcPr>
            <w:tcW w:w="3698" w:type="pct"/>
            <w:noWrap w:val="0"/>
            <w:vAlign w:val="center"/>
          </w:tcPr>
          <w:p w14:paraId="3EA06F26">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工业机械传动系统装调平台</w:t>
            </w:r>
          </w:p>
        </w:tc>
        <w:tc>
          <w:tcPr>
            <w:tcW w:w="824" w:type="pct"/>
            <w:noWrap w:val="0"/>
            <w:vAlign w:val="center"/>
          </w:tcPr>
          <w:p w14:paraId="2906FE40">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1套</w:t>
            </w:r>
          </w:p>
        </w:tc>
      </w:tr>
      <w:tr w14:paraId="1604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7" w:type="pct"/>
            <w:noWrap w:val="0"/>
            <w:vAlign w:val="center"/>
          </w:tcPr>
          <w:p w14:paraId="7BF4A5C2">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2</w:t>
            </w:r>
          </w:p>
        </w:tc>
        <w:tc>
          <w:tcPr>
            <w:tcW w:w="3698" w:type="pct"/>
            <w:noWrap w:val="0"/>
            <w:vAlign w:val="center"/>
          </w:tcPr>
          <w:p w14:paraId="6876CB37">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现代装配钳工综合实训平台考核设备</w:t>
            </w:r>
          </w:p>
        </w:tc>
        <w:tc>
          <w:tcPr>
            <w:tcW w:w="824" w:type="pct"/>
            <w:noWrap w:val="0"/>
            <w:vAlign w:val="center"/>
          </w:tcPr>
          <w:p w14:paraId="4B18736F">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9套</w:t>
            </w:r>
          </w:p>
        </w:tc>
      </w:tr>
      <w:tr w14:paraId="639C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7" w:type="pct"/>
            <w:noWrap w:val="0"/>
            <w:vAlign w:val="center"/>
          </w:tcPr>
          <w:p w14:paraId="0506A5C6">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3</w:t>
            </w:r>
          </w:p>
        </w:tc>
        <w:tc>
          <w:tcPr>
            <w:tcW w:w="3698" w:type="pct"/>
            <w:noWrap w:val="0"/>
            <w:vAlign w:val="center"/>
          </w:tcPr>
          <w:p w14:paraId="20EF516B">
            <w:pPr>
              <w:spacing w:line="500" w:lineRule="exact"/>
              <w:jc w:val="center"/>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实训室配套基础设施</w:t>
            </w:r>
          </w:p>
        </w:tc>
        <w:tc>
          <w:tcPr>
            <w:tcW w:w="824" w:type="pct"/>
            <w:noWrap w:val="0"/>
            <w:vAlign w:val="center"/>
          </w:tcPr>
          <w:p w14:paraId="75C3722D">
            <w:pPr>
              <w:spacing w:line="500" w:lineRule="exact"/>
              <w:jc w:val="center"/>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1批</w:t>
            </w:r>
          </w:p>
        </w:tc>
      </w:tr>
    </w:tbl>
    <w:p w14:paraId="2DFBB68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hint="eastAsia" w:ascii="仿宋" w:hAnsi="仿宋" w:eastAsia="仿宋"/>
          <w:sz w:val="28"/>
          <w:szCs w:val="28"/>
          <w:highlight w:val="none"/>
        </w:rPr>
      </w:pPr>
      <w:r>
        <w:rPr>
          <w:rFonts w:hint="eastAsia" w:ascii="黑体" w:hAnsi="黑体" w:eastAsia="黑体"/>
          <w:sz w:val="28"/>
          <w:szCs w:val="28"/>
          <w:highlight w:val="none"/>
        </w:rPr>
        <w:t>三、</w:t>
      </w:r>
      <w:r>
        <w:rPr>
          <w:rFonts w:hint="eastAsia" w:ascii="黑体" w:hAnsi="黑体" w:eastAsia="黑体"/>
          <w:sz w:val="28"/>
          <w:szCs w:val="28"/>
          <w:highlight w:val="none"/>
          <w:lang w:val="en-US" w:eastAsia="zh-CN"/>
        </w:rPr>
        <w:t>技术</w:t>
      </w:r>
      <w:r>
        <w:rPr>
          <w:rFonts w:hint="eastAsia" w:ascii="黑体" w:hAnsi="黑体" w:eastAsia="黑体"/>
          <w:sz w:val="28"/>
          <w:szCs w:val="28"/>
          <w:highlight w:val="none"/>
        </w:rPr>
        <w:t xml:space="preserve">要求 </w:t>
      </w:r>
    </w:p>
    <w:tbl>
      <w:tblPr>
        <w:tblStyle w:val="19"/>
        <w:tblW w:w="53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858"/>
        <w:gridCol w:w="8624"/>
      </w:tblGrid>
      <w:tr w14:paraId="66D13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 w:type="pct"/>
            <w:tcBorders>
              <w:top w:val="single" w:color="auto" w:sz="4" w:space="0"/>
              <w:left w:val="single" w:color="auto" w:sz="4" w:space="0"/>
              <w:bottom w:val="single" w:color="auto" w:sz="4" w:space="0"/>
              <w:right w:val="single" w:color="auto" w:sz="4" w:space="0"/>
            </w:tcBorders>
            <w:noWrap w:val="0"/>
            <w:vAlign w:val="center"/>
          </w:tcPr>
          <w:p w14:paraId="269F0870">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序号</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3ABF46E2">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rPr>
              <w:t>设备名称</w:t>
            </w:r>
          </w:p>
        </w:tc>
        <w:tc>
          <w:tcPr>
            <w:tcW w:w="4241" w:type="pct"/>
            <w:tcBorders>
              <w:top w:val="single" w:color="auto" w:sz="4" w:space="0"/>
              <w:left w:val="single" w:color="auto" w:sz="4" w:space="0"/>
              <w:bottom w:val="single" w:color="auto" w:sz="4" w:space="0"/>
              <w:right w:val="single" w:color="auto" w:sz="4" w:space="0"/>
            </w:tcBorders>
            <w:noWrap w:val="0"/>
            <w:vAlign w:val="center"/>
          </w:tcPr>
          <w:p w14:paraId="6CB34E44">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rPr>
              <w:t>技术参数要求</w:t>
            </w:r>
          </w:p>
        </w:tc>
      </w:tr>
      <w:tr w14:paraId="56A0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 w:type="pct"/>
            <w:tcBorders>
              <w:top w:val="single" w:color="auto" w:sz="4" w:space="0"/>
              <w:left w:val="single" w:color="auto" w:sz="4" w:space="0"/>
              <w:bottom w:val="single" w:color="auto" w:sz="4" w:space="0"/>
              <w:right w:val="single" w:color="auto" w:sz="4" w:space="0"/>
            </w:tcBorders>
            <w:noWrap w:val="0"/>
            <w:vAlign w:val="center"/>
          </w:tcPr>
          <w:p w14:paraId="3E848B8B">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53570BAC">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工业机械传动系统装调平台</w:t>
            </w:r>
          </w:p>
        </w:tc>
        <w:tc>
          <w:tcPr>
            <w:tcW w:w="4241" w:type="pct"/>
            <w:tcBorders>
              <w:top w:val="single" w:color="auto" w:sz="4" w:space="0"/>
              <w:left w:val="single" w:color="auto" w:sz="4" w:space="0"/>
              <w:bottom w:val="single" w:color="auto" w:sz="4" w:space="0"/>
              <w:right w:val="single" w:color="auto" w:sz="4" w:space="0"/>
            </w:tcBorders>
            <w:noWrap w:val="0"/>
            <w:vAlign w:val="center"/>
          </w:tcPr>
          <w:p w14:paraId="6FD5017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一、产品总体要求</w:t>
            </w:r>
          </w:p>
          <w:p w14:paraId="1388B7B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1.系统主要由</w:t>
            </w:r>
            <w:r>
              <w:rPr>
                <w:rFonts w:hint="eastAsia" w:ascii="仿宋" w:hAnsi="仿宋" w:eastAsia="仿宋" w:cs="仿宋"/>
                <w:sz w:val="24"/>
                <w:szCs w:val="24"/>
                <w:highlight w:val="none"/>
                <w:lang w:val="en-US" w:eastAsia="zh-CN"/>
              </w:rPr>
              <w:t>装调平</w:t>
            </w:r>
            <w:r>
              <w:rPr>
                <w:rFonts w:hint="eastAsia" w:ascii="仿宋" w:hAnsi="仿宋" w:eastAsia="仿宋" w:cs="仿宋"/>
                <w:sz w:val="24"/>
                <w:szCs w:val="24"/>
                <w:highlight w:val="none"/>
              </w:rPr>
              <w:t>台、电控箱、模块式实训组件、配套工具及量具等组成，可完成带传动、链传动、齿轮传动、蜗轮蜗杆传动等的安装调整训练，使学生熟悉工业机械传动的组成，掌握现代工量具的使用及工业机械传动系统的装配检测与调整，培养工业机械设备的安装、维护、维修所需的高技能技术型人才。</w:t>
            </w:r>
          </w:p>
          <w:p w14:paraId="3FDC863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.具有漏电保护、短路保护、整体实训对象部件运行的防护联锁保护、接地保护等功能，对设备及操作者进行有效保护。</w:t>
            </w:r>
          </w:p>
          <w:p w14:paraId="2BF1FF7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.为保证后期的维护、</w:t>
            </w:r>
            <w:r>
              <w:rPr>
                <w:rFonts w:hint="eastAsia" w:ascii="仿宋" w:hAnsi="仿宋" w:eastAsia="仿宋" w:cs="仿宋"/>
                <w:sz w:val="24"/>
                <w:szCs w:val="24"/>
                <w:highlight w:val="none"/>
                <w:lang w:val="zh-CN"/>
              </w:rPr>
              <w:t>实训教学稳定</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提供高效的报修服务和需求响应，设备融入互联网+设备运维系统，具有功能要求如下：</w:t>
            </w:r>
          </w:p>
          <w:p w14:paraId="2B4946E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（1）服务端分为PC机和手机APP两个版本，使用更加多元化、灵活化，管理人员使用PC版，更加高效快速。</w:t>
            </w:r>
          </w:p>
          <w:p w14:paraId="524139B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lang w:val="zh-CN"/>
              </w:rPr>
              <w:t>（2）设备信息包括产品型号、名称、出厂日期、过保日期、出厂报告、设备装箱单、实训指导书等。</w:t>
            </w:r>
            <w:r>
              <w:rPr>
                <w:rFonts w:hint="eastAsia" w:ascii="仿宋" w:hAnsi="仿宋" w:eastAsia="仿宋" w:cs="仿宋"/>
                <w:b/>
                <w:bCs/>
                <w:sz w:val="24"/>
                <w:szCs w:val="24"/>
                <w:highlight w:val="none"/>
                <w:lang w:val="zh-CN"/>
              </w:rPr>
              <w:t>响应时提供平台功能截图。</w:t>
            </w:r>
          </w:p>
          <w:p w14:paraId="53313A3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lang w:val="zh-CN"/>
              </w:rPr>
              <w:t>（3）手机扫描后就可以快速提交服务需求，能够通过文字、现场照片和视频精准描述设备故障，并且能自动显示设备所在位置，让保修更加精准。</w:t>
            </w:r>
            <w:r>
              <w:rPr>
                <w:rFonts w:hint="eastAsia" w:ascii="仿宋" w:hAnsi="仿宋" w:eastAsia="仿宋" w:cs="仿宋"/>
                <w:b/>
                <w:bCs/>
                <w:sz w:val="24"/>
                <w:szCs w:val="24"/>
                <w:highlight w:val="none"/>
                <w:lang w:val="zh-CN"/>
              </w:rPr>
              <w:t>响应时提供平台功能截图。</w:t>
            </w:r>
          </w:p>
          <w:p w14:paraId="40376DE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4）客户端发送服务情况后，服务端自动生成服务工单，系统自动发送的服务短信内容包括服务人员姓名、联系方式、工单进度链接；设备信息和客户每次的服务需求都应永久存储，只需要用手机扫描就可以快速查看。</w:t>
            </w:r>
          </w:p>
          <w:p w14:paraId="098DA87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.为保证后期的</w:t>
            </w:r>
            <w:r>
              <w:rPr>
                <w:rFonts w:hint="eastAsia" w:ascii="仿宋" w:hAnsi="仿宋" w:eastAsia="仿宋" w:cs="仿宋"/>
                <w:sz w:val="24"/>
                <w:szCs w:val="24"/>
                <w:highlight w:val="none"/>
                <w:lang w:val="zh-CN"/>
              </w:rPr>
              <w:t>实训教学</w:t>
            </w:r>
            <w:r>
              <w:rPr>
                <w:rFonts w:hint="eastAsia" w:ascii="仿宋" w:hAnsi="仿宋" w:eastAsia="仿宋" w:cs="仿宋"/>
                <w:sz w:val="24"/>
                <w:szCs w:val="24"/>
                <w:highlight w:val="none"/>
              </w:rPr>
              <w:t>能够顺利进行，及时响应教师在实验实训过程中遇到的各种问题</w:t>
            </w:r>
            <w:r>
              <w:rPr>
                <w:rFonts w:hint="eastAsia" w:ascii="仿宋" w:hAnsi="仿宋" w:eastAsia="仿宋" w:cs="仿宋"/>
                <w:sz w:val="24"/>
                <w:szCs w:val="24"/>
                <w:highlight w:val="none"/>
                <w:lang w:val="zh-CN"/>
              </w:rPr>
              <w:t>，设备融入</w:t>
            </w:r>
            <w:r>
              <w:rPr>
                <w:rFonts w:hint="eastAsia" w:ascii="仿宋" w:hAnsi="仿宋" w:eastAsia="仿宋" w:cs="仿宋"/>
                <w:sz w:val="24"/>
                <w:szCs w:val="24"/>
                <w:highlight w:val="none"/>
              </w:rPr>
              <w:t>在线服务平台</w:t>
            </w: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rPr>
              <w:t>及时快速解决突发情况，</w:t>
            </w:r>
            <w:r>
              <w:rPr>
                <w:rFonts w:hint="eastAsia" w:ascii="仿宋" w:hAnsi="仿宋" w:eastAsia="仿宋" w:cs="仿宋"/>
                <w:sz w:val="24"/>
                <w:szCs w:val="24"/>
                <w:highlight w:val="none"/>
                <w:lang w:val="zh-CN"/>
              </w:rPr>
              <w:t>具有功能要求如下：</w:t>
            </w:r>
          </w:p>
          <w:p w14:paraId="2DC02C1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（1）基于第三方开发，平台集专业建设、技术即时交流、课程设计、问题搜索、问题发帖、售后服务、24小时智能机器人等功能于一身，支持PC、Android、IOS、HarmonyOS多平台互动。</w:t>
            </w:r>
          </w:p>
          <w:p w14:paraId="7A90F1B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（2）平台有教授、博士、行业高级技师、在校教师、企业高级工程师、一线技术员等长期驻扎，能够全方位服务不同人群。</w:t>
            </w:r>
          </w:p>
          <w:p w14:paraId="6B558A1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rPr>
              <w:t>（3）平台可设置日程、投票、知识充电站、重要通知等功能，通知支持礼物、拍摄、文件等内容。</w:t>
            </w:r>
            <w:r>
              <w:rPr>
                <w:rFonts w:hint="eastAsia" w:ascii="仿宋" w:hAnsi="仿宋" w:eastAsia="仿宋" w:cs="仿宋"/>
                <w:b/>
                <w:bCs/>
                <w:sz w:val="24"/>
                <w:szCs w:val="24"/>
                <w:highlight w:val="none"/>
                <w:lang w:eastAsia="zh-CN"/>
              </w:rPr>
              <w:t>响应</w:t>
            </w:r>
            <w:r>
              <w:rPr>
                <w:rFonts w:hint="eastAsia" w:ascii="仿宋" w:hAnsi="仿宋" w:eastAsia="仿宋" w:cs="仿宋"/>
                <w:b/>
                <w:bCs/>
                <w:sz w:val="24"/>
                <w:szCs w:val="24"/>
                <w:highlight w:val="none"/>
              </w:rPr>
              <w:t>时提供平台功能截图。</w:t>
            </w:r>
          </w:p>
          <w:p w14:paraId="5C67D47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rPr>
              <w:t>（4）平台提供专业建设板块、课程设计板块、教学资源板块、师资培训板块、技术交流板块、技能竞赛板块、售后服务板块等。</w:t>
            </w:r>
            <w:r>
              <w:rPr>
                <w:rFonts w:hint="eastAsia" w:ascii="仿宋" w:hAnsi="仿宋" w:eastAsia="仿宋" w:cs="仿宋"/>
                <w:b/>
                <w:bCs/>
                <w:sz w:val="24"/>
                <w:szCs w:val="24"/>
                <w:highlight w:val="none"/>
                <w:lang w:eastAsia="zh-CN"/>
              </w:rPr>
              <w:t>响应</w:t>
            </w:r>
            <w:r>
              <w:rPr>
                <w:rFonts w:hint="eastAsia" w:ascii="仿宋" w:hAnsi="仿宋" w:eastAsia="仿宋" w:cs="仿宋"/>
                <w:b/>
                <w:bCs/>
                <w:sz w:val="24"/>
                <w:szCs w:val="24"/>
                <w:highlight w:val="none"/>
              </w:rPr>
              <w:t>时提供平台功能截图。</w:t>
            </w:r>
          </w:p>
          <w:p w14:paraId="449DAD3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rPr>
              <w:t>（5）每个板块均可进行即时语音交流、专题直播在线讨论，可设置频次，平台可搜索历史提问查找答案，问题内容支持文档排版、表情包、图片、视屏、超链接等功能。</w:t>
            </w:r>
            <w:r>
              <w:rPr>
                <w:rFonts w:hint="eastAsia" w:ascii="仿宋" w:hAnsi="仿宋" w:eastAsia="仿宋" w:cs="仿宋"/>
                <w:b/>
                <w:bCs/>
                <w:sz w:val="24"/>
                <w:szCs w:val="24"/>
                <w:highlight w:val="none"/>
                <w:lang w:eastAsia="zh-CN"/>
              </w:rPr>
              <w:t>响应</w:t>
            </w:r>
            <w:r>
              <w:rPr>
                <w:rFonts w:hint="eastAsia" w:ascii="仿宋" w:hAnsi="仿宋" w:eastAsia="仿宋" w:cs="仿宋"/>
                <w:b/>
                <w:bCs/>
                <w:sz w:val="24"/>
                <w:szCs w:val="24"/>
                <w:highlight w:val="none"/>
              </w:rPr>
              <w:t>时提供平台功能截图。</w:t>
            </w:r>
          </w:p>
          <w:p w14:paraId="506A4B9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.该实训平台须为成熟的教学实训、竞赛平台，须满足世界技能大赛中国选拔赛等不少于五种技能赛事要求</w:t>
            </w:r>
            <w:r>
              <w:rPr>
                <w:rFonts w:hint="eastAsia" w:ascii="仿宋" w:hAnsi="仿宋" w:eastAsia="仿宋" w:cs="仿宋"/>
                <w:sz w:val="24"/>
                <w:szCs w:val="24"/>
                <w:highlight w:val="none"/>
                <w:lang w:eastAsia="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（中标人在中标公告发布后3个工作日内提供证明文件给采购人核查，不提供或核查不通过采购人可取消其中标资格。）</w:t>
            </w:r>
          </w:p>
          <w:p w14:paraId="6AB2E89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.为了保证产品实训教学效果及确保产品质量稳定可靠，要求</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中需提供省级以上部门出具的产品检测报告。</w:t>
            </w:r>
          </w:p>
          <w:p w14:paraId="0AC7B23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二、主要配置及功能要求</w:t>
            </w:r>
          </w:p>
          <w:p w14:paraId="6D142A4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装调平</w:t>
            </w:r>
            <w:r>
              <w:rPr>
                <w:rFonts w:hint="eastAsia" w:ascii="仿宋" w:hAnsi="仿宋" w:eastAsia="仿宋" w:cs="仿宋"/>
                <w:sz w:val="24"/>
                <w:szCs w:val="24"/>
                <w:highlight w:val="none"/>
              </w:rPr>
              <w:t>台要求</w:t>
            </w:r>
          </w:p>
          <w:p w14:paraId="6B85B84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（1）平台整体采用钢制雨篷式结构设计，表面静电喷涂工艺处理，融合了现代化工业设计风格及造型。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1）平台左右侧前角为150度圆弧过渡，抽屉边框正面四角为R35圆角过渡，后侧为双开门结构样式。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2）左、右侧柱采用卡扣式安装，最小截面不小于60x11mm，最大截面不小于150x11mm，表面logo采用嵌套工艺UV打印。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3）顶部灯罩采用雨篷式结构，折边均采用圆弧过渡工艺，尺寸不小于1120x300x60mm，并设置有LED照明灯，照明透光区域不小于1000x150mm；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4）插座面板采用1.5mm优质冷轧钢板网孔板设计，可挂置零件盒，左、右侧设置有220V、380V电源插座，尺寸不小于1100x585x60mm。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（2）配有带安装槽的基准铸铁平板台面，平板台面T字槽型结构，材质为HT250，槽宽12mm，外形尺寸：1000×750×50mm，工作表面不低于0级精度。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（3）配有上槽轨组件，槽宽10mm；上槽轨组件应可调节地设置在下槽轨组件上，实训组件可调节地设置在所述上槽轨组件上。</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Times New Roman"/>
                <w:sz w:val="28"/>
                <w:szCs w:val="28"/>
                <w:highlight w:val="none"/>
              </w:rPr>
              <w:t>★</w:t>
            </w:r>
            <w:r>
              <w:rPr>
                <w:rFonts w:hint="eastAsia" w:ascii="仿宋" w:hAnsi="仿宋" w:eastAsia="仿宋" w:cs="仿宋"/>
                <w:i w:val="0"/>
                <w:iCs w:val="0"/>
                <w:color w:val="000000"/>
                <w:kern w:val="0"/>
                <w:sz w:val="24"/>
                <w:szCs w:val="24"/>
                <w:highlight w:val="none"/>
                <w:u w:val="none"/>
                <w:lang w:val="en-US" w:eastAsia="zh-CN" w:bidi="ar"/>
              </w:rPr>
              <w:t>（4）配套有可观察式防护罩（2×2面），须与设备一体创新设计</w:t>
            </w:r>
            <w:r>
              <w:rPr>
                <w:rFonts w:hint="eastAsia" w:ascii="仿宋" w:hAnsi="仿宋" w:eastAsia="仿宋" w:cs="仿宋"/>
                <w:b/>
                <w:bCs/>
                <w:sz w:val="24"/>
                <w:szCs w:val="24"/>
                <w:highlight w:val="none"/>
                <w:lang w:val="en-US" w:eastAsia="zh-CN"/>
              </w:rPr>
              <w:t>（</w:t>
            </w:r>
            <w:r>
              <w:rPr>
                <w:rFonts w:hint="eastAsia" w:ascii="仿宋" w:hAnsi="仿宋" w:eastAsia="仿宋" w:cs="仿宋"/>
                <w:b/>
                <w:bCs/>
                <w:sz w:val="24"/>
                <w:szCs w:val="24"/>
                <w:highlight w:val="none"/>
                <w:lang w:eastAsia="zh-CN"/>
              </w:rPr>
              <w:t>响应</w:t>
            </w:r>
            <w:r>
              <w:rPr>
                <w:rFonts w:hint="eastAsia" w:ascii="仿宋" w:hAnsi="仿宋" w:eastAsia="仿宋" w:cs="仿宋"/>
                <w:b/>
                <w:bCs/>
                <w:sz w:val="24"/>
                <w:szCs w:val="24"/>
                <w:highlight w:val="none"/>
                <w:lang w:val="en-US" w:eastAsia="zh-CN"/>
              </w:rPr>
              <w:t>文件提供实物图照片）</w:t>
            </w:r>
            <w:r>
              <w:rPr>
                <w:rFonts w:hint="eastAsia" w:ascii="仿宋" w:hAnsi="仿宋" w:eastAsia="仿宋" w:cs="仿宋"/>
                <w:i w:val="0"/>
                <w:iCs w:val="0"/>
                <w:color w:val="000000"/>
                <w:kern w:val="0"/>
                <w:sz w:val="24"/>
                <w:szCs w:val="24"/>
                <w:highlight w:val="none"/>
                <w:u w:val="none"/>
                <w:lang w:val="en-US" w:eastAsia="zh-CN" w:bidi="ar"/>
              </w:rPr>
              <w:t>。内设有安全保障系统，可对传动部件运行空间进行防护。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设有存储抽屉，抽屉把手采用嵌套式工艺，把手区域不小于240x25mm，抽屉面板顶部和底部采用圆角工艺设计，抽屉总个数不少于7个，每层抽屉采用22寸阻尼加厚静音款三节轨；内腔存放盒≧5个，尺寸≧500x550*50mm，方便实训零件、资料等的放置及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（6）底部采用工业级福马轮，单轮承重不小于500kg，并设置有水平调节底脚，移动、定位方便</w:t>
            </w:r>
            <w:r>
              <w:rPr>
                <w:rFonts w:hint="eastAsia" w:ascii="仿宋" w:hAnsi="仿宋" w:eastAsia="仿宋" w:cs="仿宋"/>
                <w:sz w:val="24"/>
                <w:szCs w:val="24"/>
                <w:highlight w:val="none"/>
              </w:rPr>
              <w:t>。</w:t>
            </w:r>
          </w:p>
          <w:p w14:paraId="11667A9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2.电控箱要求</w:t>
            </w:r>
          </w:p>
          <w:p w14:paraId="431C169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lang w:val="en-US" w:eastAsia="zh-CN" w:bidi="ar"/>
              </w:rPr>
              <w:t>（1）</w:t>
            </w:r>
            <w:r>
              <w:rPr>
                <w:rFonts w:hint="eastAsia" w:ascii="仿宋" w:hAnsi="仿宋" w:eastAsia="仿宋" w:cs="仿宋"/>
                <w:i w:val="0"/>
                <w:iCs w:val="0"/>
                <w:color w:val="000000"/>
                <w:kern w:val="0"/>
                <w:sz w:val="24"/>
                <w:szCs w:val="24"/>
                <w:highlight w:val="none"/>
                <w:u w:val="none"/>
                <w:lang w:val="en-US" w:eastAsia="zh-CN" w:bidi="ar"/>
              </w:rPr>
              <w:t>电控箱应为优质冷轧钢板材质，表面密纹喷塑处理，应采用滑动隐藏收纳设计；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（2）工业变频器1个：额定功率≧0.37 kW，有 60 秒 150 % 过载，I/O 接口：4DI/2DO/2AI，支持USS/MODBUS RTU总线通讯。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（3）配有转换开关1个、钥匙开关1个、保护器1个、接触器1个、继电器4个、24VDC/5A直流电源1个、RJ45接口模块1个、外置接口模块1个等电气部件。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（4）外部操作面板1块，具有工作状态液晶显示、工作模式控制、运行和停止控制、运行速度控制控制等功能。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Times New Roman"/>
                <w:sz w:val="28"/>
                <w:szCs w:val="28"/>
                <w:highlight w:val="none"/>
              </w:rPr>
              <w:t>★</w:t>
            </w:r>
            <w:r>
              <w:rPr>
                <w:rFonts w:hint="eastAsia" w:ascii="仿宋" w:hAnsi="仿宋" w:eastAsia="仿宋" w:cs="仿宋"/>
                <w:b/>
                <w:bCs/>
                <w:i w:val="0"/>
                <w:iCs w:val="0"/>
                <w:color w:val="000000"/>
                <w:kern w:val="0"/>
                <w:sz w:val="24"/>
                <w:szCs w:val="24"/>
                <w:highlight w:val="none"/>
                <w:u w:val="none"/>
                <w:lang w:val="en-US" w:eastAsia="zh-CN" w:bidi="ar"/>
              </w:rPr>
              <w:t>（5）响应文件应提供电控箱实物图片</w:t>
            </w:r>
            <w:r>
              <w:rPr>
                <w:rFonts w:hint="eastAsia" w:ascii="仿宋" w:hAnsi="仿宋" w:eastAsia="仿宋" w:cs="仿宋"/>
                <w:i w:val="0"/>
                <w:iCs w:val="0"/>
                <w:color w:val="000000"/>
                <w:kern w:val="0"/>
                <w:sz w:val="24"/>
                <w:szCs w:val="24"/>
                <w:highlight w:val="none"/>
                <w:u w:val="none"/>
                <w:lang w:val="en-US" w:eastAsia="zh-CN" w:bidi="ar"/>
              </w:rPr>
              <w:t>。</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（6）变频器学习软件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1）软件教学内容与设备配套变频器系列产品一致；</w:t>
            </w:r>
          </w:p>
          <w:p w14:paraId="28B9E4B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rPr>
              <w:t>2）提供不少于35个学习项目</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须列出具体项目内容）</w:t>
            </w:r>
            <w:r>
              <w:rPr>
                <w:rFonts w:hint="eastAsia" w:ascii="仿宋" w:hAnsi="仿宋" w:eastAsia="仿宋" w:cs="仿宋"/>
                <w:sz w:val="24"/>
                <w:szCs w:val="24"/>
                <w:highlight w:val="none"/>
              </w:rPr>
              <w:t>；</w:t>
            </w:r>
          </w:p>
          <w:p w14:paraId="100F9BE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3、基本实训组件要求</w:t>
            </w:r>
          </w:p>
          <w:p w14:paraId="503ECD7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（1）变频驱动电机1台：额定功率≥0.37kW，输入电压AC380V。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 传动轴一2根，材料：40CrMo，规格：Ø20mm×225mm，带键槽，精度：直线度≦0.02mm/225mm，粗糙度≤0.8μm，硬度HRC28-32。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 传动轴二3根，材料：40CrMo，规格：Ø20mm×350mm，带键槽，精度：直线度≦0.02mm/225mm，粗糙度≤0.8μm，硬度HRC28-32。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（4）梅花联轴器2个，材料：45#钢，规格：外径65mm，长度90mm，轴孔14/20mm，轴孔20/20mm，带键槽和顶丝，精度：IT6级，粗糙度≤3.2μm。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（5）凸缘联轴器1个，材料：45#钢，规格：轴孔14/20，带键槽和顶丝，两端轴长45mm，精度：IT6级，径向跳动≤0.03mm，端面跳动≤0.03mm，粗糙度≤3.2μm。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（6）刚性联轴器1个，材料：45#钢，规格：轴孔14/20，精度：IT7级。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（7）弹性套柱销联轴器，材料：45#钢，规格：轴孔14/20，精度：IT7级。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（8）弹性柱销联轴器，材料：45#钢，规格：轴孔14/20，精度：IT7级。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（9）JM型膜片联轴器，材料：45#钢，规格：轴孔14/20，精度：IT7级。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（10）电机安装座垫高块，材料：6063铝合金，规格：220×120×20mm，精度：IT7级。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（11）电机安装座1件，材料：6063铝合金，规格：220x120x18.5mm，精度：IT7级。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（12）轴承座垫高块10件，材料：6063铝合金，规格：170x40x57mm，精度：IT7级。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（13）带立式座外球面轴承10个，材料：HT250灰口铸铁，规格：内孔20mm，精度：IT7级。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（14）槽轨一2根，材料：6063铝合金，规格：45x45x300mm，精度：IT7级。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（15）槽轨二4根，材料：6063铝合金，规格：45x45x365mm，精度：IT7级。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（16）槽轨三4根，材料：6063铝合金，规格：45x45x637mm，精度：IT7级。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（17）槽轨四6根，材料：6063铝合金，规格：45x45x952mm，精度：IT7级。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（18）快拆式抱轴器，材料：6063铝合金，规格：适用20mm。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（19）轴承座调整块，材料：45#钢，规格：55x25x40mm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（20）磁性座滑块，材料：45#钢，规格：50x60x20mm，精度：IT6级，粗糙度≤1.6μm。</w:t>
            </w:r>
          </w:p>
          <w:p w14:paraId="7ABF5AA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4.机械传动组件一要求</w:t>
            </w:r>
          </w:p>
          <w:p w14:paraId="522FA31D">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（1）带传动部分要求</w:t>
            </w:r>
          </w:p>
          <w:p w14:paraId="0C3AF04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1）单槽V带轮一1个，材料：45#钢，规格：A型，节径80 mm，孔径14mm，精度：IT7级，表面粗糙度≤3.2μm。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2）单槽V带轮二1个，材料：45#钢，规格：A型，节径80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3）单槽V带轮三1个，材料：45#钢，规格：A型，节径100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4）单槽V带轮四1个，材料：45#钢，规格：A型，节径125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5）V型皮带1根，材料：氯丁橡胶，规格：SPA1000，精度：IT12级。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6）弹性张紧器1套，材料：POM，规格：Ø40×50mm，配张紧器支架</w:t>
            </w:r>
            <w:r>
              <w:rPr>
                <w:rFonts w:hint="eastAsia" w:ascii="仿宋" w:hAnsi="仿宋" w:eastAsia="仿宋" w:cs="仿宋"/>
                <w:sz w:val="24"/>
                <w:szCs w:val="24"/>
                <w:highlight w:val="none"/>
                <w:lang w:val="zh-CN"/>
              </w:rPr>
              <w:t>。</w:t>
            </w:r>
          </w:p>
          <w:p w14:paraId="4F28311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Times New Roman"/>
                <w:sz w:val="28"/>
                <w:szCs w:val="28"/>
                <w:highlight w:val="none"/>
              </w:rPr>
              <w:t>★</w:t>
            </w:r>
            <w:r>
              <w:rPr>
                <w:rFonts w:hint="eastAsia" w:ascii="仿宋" w:hAnsi="仿宋" w:eastAsia="仿宋" w:cs="仿宋"/>
                <w:sz w:val="24"/>
                <w:szCs w:val="24"/>
                <w:highlight w:val="none"/>
                <w:lang w:val="en-US" w:eastAsia="zh-CN"/>
              </w:rPr>
              <w:t>7）</w:t>
            </w:r>
            <w:r>
              <w:rPr>
                <w:rFonts w:hint="eastAsia" w:ascii="仿宋" w:hAnsi="仿宋" w:eastAsia="仿宋" w:cs="仿宋"/>
                <w:b/>
                <w:bCs/>
                <w:sz w:val="24"/>
                <w:szCs w:val="24"/>
                <w:highlight w:val="none"/>
                <w:lang w:val="zh-CN"/>
              </w:rPr>
              <w:t>响应文件中</w:t>
            </w:r>
            <w:r>
              <w:rPr>
                <w:rFonts w:hint="eastAsia" w:ascii="仿宋" w:hAnsi="仿宋" w:eastAsia="仿宋" w:cs="仿宋"/>
                <w:b/>
                <w:bCs/>
                <w:sz w:val="24"/>
                <w:szCs w:val="24"/>
                <w:highlight w:val="none"/>
                <w:lang w:val="en-US" w:eastAsia="zh-CN"/>
              </w:rPr>
              <w:t>须</w:t>
            </w:r>
            <w:r>
              <w:rPr>
                <w:rFonts w:hint="eastAsia" w:ascii="仿宋" w:hAnsi="仿宋" w:eastAsia="仿宋" w:cs="仿宋"/>
                <w:b/>
                <w:bCs/>
                <w:sz w:val="24"/>
                <w:szCs w:val="24"/>
                <w:highlight w:val="none"/>
                <w:lang w:val="zh-CN"/>
              </w:rPr>
              <w:t>附至少一种本部分组合搭建的</w:t>
            </w:r>
            <w:r>
              <w:rPr>
                <w:rFonts w:hint="eastAsia" w:ascii="仿宋" w:hAnsi="仿宋" w:eastAsia="仿宋" w:cs="仿宋"/>
                <w:b/>
                <w:bCs/>
                <w:sz w:val="24"/>
                <w:szCs w:val="24"/>
                <w:highlight w:val="none"/>
                <w:lang w:val="en-US" w:eastAsia="zh-CN"/>
              </w:rPr>
              <w:t>带</w:t>
            </w:r>
            <w:r>
              <w:rPr>
                <w:rFonts w:hint="eastAsia" w:ascii="仿宋" w:hAnsi="仿宋" w:eastAsia="仿宋" w:cs="仿宋"/>
                <w:b/>
                <w:bCs/>
                <w:sz w:val="24"/>
                <w:szCs w:val="24"/>
                <w:highlight w:val="none"/>
                <w:lang w:val="zh-CN"/>
              </w:rPr>
              <w:t>传动方案实物图片。</w:t>
            </w:r>
          </w:p>
          <w:p w14:paraId="57DB3CF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（2）链传动部分要求</w:t>
            </w:r>
          </w:p>
          <w:p w14:paraId="0357222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1）单排链条2条，材料：Q235钢，规格：08B，100节，精度：IT7级。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2）单排链轮一1个，材料：45#钢，规格：08B，齿数15，孔径14mm，硬度55-60HRC，精度：IT7级，齿形粗糙度≤3.2μm。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3）单排链轮二1个，材料：45#钢，规格：08B，齿数15，孔径20mm，硬度55-60HRC，精度：IT7级，齿形粗糙度≤3.2μm。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 单排链轮三1个，材料：45#钢，规格：08B，齿数20，孔径20mm，硬度55-60HRC，精度：IT7级，齿形粗糙度≤3.2μm。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 单排链轮四1个，材料：45#钢，规格：08B，齿数25，孔径20mm，硬度55-60HRC，精度：IT7级，齿形粗糙度≤3.2μm。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6）链条接头5个，材料：Q235钢，规格：08B，精度：IT7级。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7）单排张紧链轮组件1套，材料：45#钢，规格：08B，齿数15，精度：IT7级，齿形粗糙度≤3.2μm，硬度55-60HRC。</w:t>
            </w:r>
          </w:p>
          <w:p w14:paraId="3976E88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lang w:val="zh-CN"/>
              </w:rPr>
              <w:t>）</w:t>
            </w:r>
            <w:r>
              <w:rPr>
                <w:rFonts w:hint="eastAsia" w:ascii="仿宋" w:hAnsi="仿宋" w:eastAsia="仿宋" w:cs="仿宋"/>
                <w:b/>
                <w:bCs/>
                <w:sz w:val="24"/>
                <w:szCs w:val="24"/>
                <w:highlight w:val="none"/>
                <w:lang w:val="en-US" w:eastAsia="zh-CN"/>
              </w:rPr>
              <w:t>响应</w:t>
            </w:r>
            <w:r>
              <w:rPr>
                <w:rFonts w:hint="eastAsia" w:ascii="仿宋" w:hAnsi="仿宋" w:eastAsia="仿宋" w:cs="仿宋"/>
                <w:b/>
                <w:bCs/>
                <w:sz w:val="24"/>
                <w:szCs w:val="24"/>
                <w:highlight w:val="none"/>
                <w:lang w:val="zh-CN"/>
              </w:rPr>
              <w:t>文件中</w:t>
            </w:r>
            <w:r>
              <w:rPr>
                <w:rFonts w:hint="eastAsia" w:ascii="仿宋" w:hAnsi="仿宋" w:eastAsia="仿宋" w:cs="仿宋"/>
                <w:b/>
                <w:bCs/>
                <w:sz w:val="24"/>
                <w:szCs w:val="24"/>
                <w:highlight w:val="none"/>
                <w:lang w:val="en-US" w:eastAsia="zh-CN"/>
              </w:rPr>
              <w:t>须</w:t>
            </w:r>
            <w:r>
              <w:rPr>
                <w:rFonts w:hint="eastAsia" w:ascii="仿宋" w:hAnsi="仿宋" w:eastAsia="仿宋" w:cs="仿宋"/>
                <w:b/>
                <w:bCs/>
                <w:sz w:val="24"/>
                <w:szCs w:val="24"/>
                <w:highlight w:val="none"/>
                <w:lang w:val="zh-CN"/>
              </w:rPr>
              <w:t>附至少一种本部分组合搭建的链传动方案实物图片。</w:t>
            </w:r>
          </w:p>
          <w:p w14:paraId="438F6BD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（3）齿轮传动部分要求</w:t>
            </w:r>
          </w:p>
          <w:p w14:paraId="33B7185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 直齿圆柱齿轮一2个，材料：20CrMnTi，规格：齿数48，模数1.5，压力角20°，配孔径20 mm免键式胀紧套，IT6级，齿形粗糙度≤1.6μm，硬度55-60HRC。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 直齿圆柱齿轮二2个，材料：20CrMnTi，规格：齿数60，模数1.5，压力角20°，配孔径20 mm免键式胀紧套，IT6级，齿形粗糙度≤1.6μm，硬度55-60HRC。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 直齿圆柱齿轮三1个，材料：20CrMnTi，规格：齿数30，模数2，压力角20°，孔径14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 直齿圆柱齿轮四1个，材料：20CrMnTi，规格：齿数30，模数2，压力角20°，孔径20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 直齿圆柱齿轮五1个，材料：20CrMnTi，规格：齿数40，模数2，压力角20°，孔径20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 直齿圆柱齿轮六1个，材料：20CrMnTi，规格：齿数50，模数2，压力角20°，孔径20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 直齿圆柱齿轮七1个，材料：20CrMnTi，规格：齿数60，模数2，压力角20°，配孔径20 mm免键式胀紧套，IT6级，齿形粗糙度≤1.6μm，硬度55-60HRC。</w:t>
            </w:r>
          </w:p>
          <w:p w14:paraId="57B0743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lang w:val="zh-CN"/>
              </w:rPr>
              <w:t>）至少能完成</w:t>
            </w:r>
            <w:r>
              <w:rPr>
                <w:rFonts w:hint="eastAsia" w:ascii="仿宋" w:hAnsi="仿宋" w:eastAsia="仿宋" w:cs="仿宋"/>
                <w:b/>
                <w:bCs/>
                <w:sz w:val="24"/>
                <w:szCs w:val="24"/>
                <w:highlight w:val="none"/>
                <w:lang w:val="en-US" w:eastAsia="zh-CN"/>
              </w:rPr>
              <w:t>3种</w:t>
            </w:r>
            <w:r>
              <w:rPr>
                <w:rFonts w:hint="eastAsia" w:ascii="仿宋" w:hAnsi="仿宋" w:eastAsia="仿宋" w:cs="仿宋"/>
                <w:b/>
                <w:bCs/>
                <w:sz w:val="24"/>
                <w:szCs w:val="24"/>
                <w:highlight w:val="none"/>
                <w:lang w:val="zh-CN"/>
              </w:rPr>
              <w:t>齿轮传动组合搭接方案，投标文件须列出各组合搭接方案的齿轮搭配情况，并附至少一种组合搭建的带传动方案实物图片。</w:t>
            </w:r>
          </w:p>
          <w:p w14:paraId="7FAADA2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5.机械传动组件二要求</w:t>
            </w:r>
          </w:p>
          <w:p w14:paraId="5FF9540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（1）带传动部分要求</w:t>
            </w:r>
          </w:p>
          <w:p w14:paraId="2D55440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主要由级进V型带轮、同步带轮、锥套式同步带轮、组合式变径带轮，锥套式双槽皮带轮、配套皮带等组成。</w:t>
            </w:r>
          </w:p>
          <w:p w14:paraId="4893997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1）级进V型带轮2个，材料：45#钢，规格：A型槽，节径55mm和90mm，孔径20 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2）同步带轮1个，材料：45#钢，规格：T10型，24齿，孔径14mm，精度：IT7级，表面粗糙度≤3.2μm。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3）同步带轮2个，材料：45#钢，规格：T10型，24齿，孔径20mm，精度：IT7级，表面粗糙度≤3.2μm。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4）锥套式同步带轮1个，材料：45#钢，规格：8M型，24齿，配孔径20mm锥形衬套，精度：IT7级，表面粗糙度≤3.2μm。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5）锥套式同步带轮1个，材料：45#钢，规格：8M型，30齿，配孔径20mm锥形衬套，精度：IT7级，表面粗糙度≤3.2μm。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6）组合式变径V带轮1个，材料：45#钢，规格：最大节径100mm，孔径20mm，精度：IT7级，表面粗糙度≤3.2μm。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7）锥套式双槽V带轮1个，材料：45#钢，规格：A型，节径90mm；配孔径20 mm的锥形衬套带键槽，精度：IT7级，表面粗糙度≤3.2μm。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8）锥套式双槽V带轮1个，材料：45#钢，规格：A型，节径125 mm；配孔径20 mm的锥形衬套带键槽，精度：IT7级，表面粗糙度≤3.2μm。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9）V型皮带4根，材料：氯丁橡胶，规格：A38两根、A48一根，XPA1000一根，精度：IT12级。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10）同步带2根，材料：氯丁橡胶，规格：T10型98齿一根，HTD型号120齿一根，精度：IT12级。</w:t>
            </w:r>
          </w:p>
          <w:p w14:paraId="537D579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lang w:val="zh-CN"/>
              </w:rPr>
              <w:t>）响应文件中</w:t>
            </w:r>
            <w:r>
              <w:rPr>
                <w:rFonts w:hint="eastAsia" w:ascii="仿宋" w:hAnsi="仿宋" w:eastAsia="仿宋" w:cs="仿宋"/>
                <w:b/>
                <w:bCs/>
                <w:sz w:val="24"/>
                <w:szCs w:val="24"/>
                <w:highlight w:val="none"/>
                <w:lang w:val="en-US" w:eastAsia="zh-CN"/>
              </w:rPr>
              <w:t>须</w:t>
            </w:r>
            <w:r>
              <w:rPr>
                <w:rFonts w:hint="eastAsia" w:ascii="仿宋" w:hAnsi="仿宋" w:eastAsia="仿宋" w:cs="仿宋"/>
                <w:b/>
                <w:bCs/>
                <w:sz w:val="24"/>
                <w:szCs w:val="24"/>
                <w:highlight w:val="none"/>
                <w:lang w:val="zh-CN"/>
              </w:rPr>
              <w:t>附至少一种本部分组合搭建的带传动方案实物图片。</w:t>
            </w:r>
          </w:p>
          <w:p w14:paraId="66A7E29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（2）链传动部分要求</w:t>
            </w:r>
          </w:p>
          <w:p w14:paraId="2CF5172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主要由双排链轮、配套双排滚子链条、双排滚子链条接头及双排张紧链轮组件等组成。</w:t>
            </w:r>
          </w:p>
          <w:p w14:paraId="7240D647">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1）锥套式双排链轮1个，材料：45#钢，规格：08B，齿数17，配孔径20 mm的锥形衬套带键槽，精度：IT7级，齿形粗糙度≤3.2μm。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2）锥套式双排链轮1个，材料：45#钢，规格：08B，齿数20，配孔径20 mm的锥形衬套带键槽，精度：IT7级，齿形粗糙度≤3.2μm。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3）双排滚子链条1根，材料：Q235钢，规格：08B，100节，精度：IT7级。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4）链条接头5个，材料：Q235钢，规格：08B，精度：IT7级。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5）双排张紧链轮组件1套，材料：45#钢，规格：08B，齿数15，内配滚动轴承，精度：IT7级，齿形粗糙度≤3.2μm。</w:t>
            </w:r>
          </w:p>
          <w:p w14:paraId="26B2A542">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lang w:val="zh-CN"/>
              </w:rPr>
              <w:t>）响应文件中须并附至少一种本部分组合搭建的链传动方案实物图片。</w:t>
            </w:r>
          </w:p>
          <w:p w14:paraId="68BD9C1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（3）齿轮传动部分要求</w:t>
            </w:r>
          </w:p>
          <w:p w14:paraId="2F03353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主要由直齿锥齿轮、蜗轮蜗杆、斜齿轮、安装组件等组成。</w:t>
            </w:r>
          </w:p>
          <w:p w14:paraId="3E0FBCA3">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lang w:val="en-US" w:eastAsia="zh-CN" w:bidi="ar"/>
              </w:rPr>
              <w:t>1）</w:t>
            </w:r>
            <w:r>
              <w:rPr>
                <w:rFonts w:hint="eastAsia" w:ascii="仿宋" w:hAnsi="仿宋" w:eastAsia="仿宋" w:cs="仿宋"/>
                <w:i w:val="0"/>
                <w:iCs w:val="0"/>
                <w:color w:val="000000"/>
                <w:kern w:val="0"/>
                <w:sz w:val="24"/>
                <w:szCs w:val="24"/>
                <w:highlight w:val="none"/>
                <w:u w:val="none"/>
                <w:lang w:val="en-US" w:eastAsia="zh-CN" w:bidi="ar"/>
              </w:rPr>
              <w:t>直齿锥齿轮2个，材料：45#钢，规格：齿数30，模数2，孔径20 mm，精度：IT6级，齿形粗糙度≤1.6μm，硬度55-60HRC。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2）蜗杆1根，材料：45#钢，规格：模数2.5，压力角20°，精度:IT6级。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3）蜗轮1个，材料：黄铜，规格：模数2.5，齿数46，压力角为20°，精度：IT7级。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4）左旋斜齿轮1个，材料：20CrMnTi，规格：齿数30，模数2，压力角20°，孔径20，IT6级，齿形粗糙度≤1.6μm，硬度55-60HRC。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5）右旋斜齿轮2个，材料：20CrMnTi，规格：齿数30，模数2，压力角20°，孔径20，IT6级，齿形粗糙度≤1.6μm，硬度55-60HRC。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6）传动轴止推环10个，材料45#钢，规格：20x40x12mm，精度：IT7级。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7）蜗轮、蜗杆安装座4个，材料：6063铝合金，规格：170x40x35mm，精度：IT7级.</w:t>
            </w:r>
          </w:p>
          <w:p w14:paraId="1B8EFDC5">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Times New Roman"/>
                <w:sz w:val="28"/>
                <w:szCs w:val="28"/>
                <w:highlight w:val="none"/>
              </w:rPr>
              <w:t>★</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lang w:val="zh-CN"/>
              </w:rPr>
              <w:t>）响应文件中须附至少一种本部分组合搭建的齿轮传动方案实物图片。</w:t>
            </w:r>
          </w:p>
          <w:p w14:paraId="2FCE491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rPr>
              <w:t>.实训模型及实训套件要求</w:t>
            </w:r>
          </w:p>
          <w:p w14:paraId="6859C25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（1）轮毂模型要求</w:t>
            </w:r>
          </w:p>
          <w:p w14:paraId="2388AB4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主要由前盖、后盖、主轴、主体、骨架油封、圆锥滚子轴承、圆螺母用止动垫圈、圆螺母等零部件组成。</w:t>
            </w:r>
          </w:p>
          <w:p w14:paraId="71948767">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1）固定支架1个，材料：Q235钢，规格：70x50x85mm，精度：IT12级。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2）前盖1个，材料：45#钢，规格：Ø80x16mm，精度：IT7级，粗糙度≤3.2μm。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3）后盖1个，材料：45#钢，规格：Ø80x12mm，精度：IT7级，粗糙度≤3.2μm。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4）主轴1根，材料：45#钢，规格：Ø30×94mm，精度：IT6级，粗糙度≤3.2μm。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5）主体1个，材料：45#钢，规格：Ø80x70mm，精度：IT6级，粗糙度≤3.2μm。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6）骨架油封1个，材料：丁腈橡胶，规格：Ø30xØ50x10mm，精度：IT7级。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7）圆锥滚子轴承1个，材料：轴承钢，规格：30204，精度：IT6级。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8）圆锥滚子轴承1个，材料：轴承钢，规格：30205，精度：IT6级。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9）圆螺母用止动垫圈1个，材料：Q235钢，规格：M20×1.5，精度：IT7级。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10）圆螺母1个，材料：45#钢，规格：M20×1.5，精度：IT7级。</w:t>
            </w:r>
          </w:p>
          <w:p w14:paraId="342374E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val="zh-CN"/>
              </w:rPr>
              <w:t>）泵浦模型要求</w:t>
            </w:r>
          </w:p>
          <w:p w14:paraId="24E7A01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主轴、透盖、马达侧座、叶轮侧座、机械密封座、泵浦叶轮、泵浦锥杯、VA水封、骨架油封、骨架油封、孔用弹性挡圈、轴用弹性挡圈、圆螺母用止动垫圈、圆螺母、深沟球轴承、角接触球轴承、O型圈、水泵用机械式密等零部件组成。</w:t>
            </w:r>
          </w:p>
          <w:p w14:paraId="65465E74">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1）主轴1根，材料：45#钢，规格：Ø25x196mm，精度：IT6级，粗糙度≤3.2μm。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2）透盖1个，材料：45#钢，规格：Ø65x17.5mm，精度：IT7级，粗糙度≤3.2μm。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3）马达侧座1个，材料：45#钢，规格：110x30x75mm，精度：IT7级，粗糙度≤3.2μm。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4）叶轮侧座1个，材料：45#钢，规格：110x20x75mm，精度：IT7级，粗糙度≤3.2μm。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5）机械密封座1个，材料：45#钢，规格：Ø65x20mm，精度：IT7级，粗糙度≤3.2μm。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6）泵浦叶轮1个，材料：45#钢，规格：Ø60x10.5mm，精度：IT7级，粗糙度≤3.2μm。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7）泵浦锥杯1个，材料：45#钢，规格：Ø25x6mm，粗糙度≤3.2μm。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8）VA水封2个，材料：丁腈橡胶，规格：VA-16，精度：IT7级。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9）骨架油封1个，材料：丁腈橡胶，规格：Ø15xØ35x7mm，精度：IT7级。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10）骨架油封1个，材料：丁腈橡胶，规格：Ø16xØ35x7mm，精度：IT7级。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12）轴用弹性挡圈1个，材料：弹簧钢，规格：A型 Ø15mm，精度：IT7级。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13）圆螺母用止动垫圈，材料：Q235钢，规格：Ø20mm，精度：IT7级。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14）圆螺母1个，材料：45#钢，规格：M20x1.5，精度：IT7级。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15）深沟球轴承1个，材料：轴承钢，规格：6202，精度：IT6级。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16）角接触球轴承1对，材料：轴承钢，规格：7004C，精度：IT6级。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17）O型圈1个，材料：丁腈橡胶，规格：Ø40x2.65mm，精度：IT7级。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18）水泵用机械式密1个，材料：弹簧钢，规格：RM108-15，精度：IT7级。</w:t>
            </w:r>
          </w:p>
          <w:p w14:paraId="38DAB2B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zh-CN"/>
              </w:rPr>
              <w:t>）</w:t>
            </w:r>
            <w:r>
              <w:rPr>
                <w:rFonts w:hint="eastAsia" w:ascii="仿宋" w:hAnsi="仿宋" w:eastAsia="仿宋" w:cs="仿宋"/>
                <w:i w:val="0"/>
                <w:iCs w:val="0"/>
                <w:color w:val="000000"/>
                <w:kern w:val="0"/>
                <w:sz w:val="24"/>
                <w:szCs w:val="24"/>
                <w:highlight w:val="none"/>
                <w:u w:val="none"/>
                <w:lang w:val="en-US" w:eastAsia="zh-CN" w:bidi="ar"/>
              </w:rPr>
              <w:t>简易齿轮箱模型</w:t>
            </w:r>
            <w:r>
              <w:rPr>
                <w:rFonts w:hint="eastAsia" w:ascii="仿宋" w:hAnsi="仿宋" w:eastAsia="仿宋" w:cs="仿宋"/>
                <w:sz w:val="24"/>
                <w:szCs w:val="24"/>
                <w:highlight w:val="none"/>
                <w:lang w:val="zh-CN"/>
              </w:rPr>
              <w:t>要求</w:t>
            </w:r>
          </w:p>
          <w:p w14:paraId="716B0A4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主轴、透盖、侧座、简易齿轮、上盖、侧盖、隔环、垫片、轴承套筒、骨架油封、孔用弹性挡圈、孔用弹性挡圈、轴用弹性、挡圈、圆螺母用止动垫圈、圆螺母、圆柱滚子轴承、调心滚子轴承、O型圈等零部件组成。</w:t>
            </w:r>
          </w:p>
          <w:p w14:paraId="51B9E10E">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1）主轴1根，材料：45#钢，规格：Ø25x135mm，精度：IT6级，粗糙度≤3.2μm。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2）透盖1个，材料：45#钢，规格：Ø70x14mm，精度：IT7级，粗糙度≤3.2μm。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3）侧座2个，材料：45#钢，规格：110x30x75mm，精度：IT7级，粗糙度≤3.2μm。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4）简易齿轮1个，材料：45#钢，规格：Ø65x25mm，精度：IT7级，粗糙度≤3.2μm。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5）上盖1个，材料：45#钢，规格：83x40x5mm，精度：IT7级，粗糙度≤3.2μm。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6）侧盖1个，材料：45#钢，规格：Ø70x15mm，精度：IT7级，粗糙度≤3.2μm。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7）隔环1个，材料：45#钢，规格：Ø25x6mm，精度：IT7级，粗糙度≤3.2μm。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8）垫片1个，材料：45#钢，规格：Ø35x3mm，精度：IT7级，粗糙度≤3.2μm。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9）轴承套筒1个，材料：45#钢，规格：Ø25x30mm，精度：IT7级，粗糙度≤3.2μm。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10）骨架油封1个，材料：丁腈橡胶，规格：Ø20xØ35x7mm，精度：IT7级。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12）孔用弹性挡圈1个，材料：弹簧钢，规格：A型 Ø52mm，精度：IT7级。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13）轴用弹性挡圈1个，材料：弹簧钢，规格：A型 Ø20mm，精度：IT7级。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14）圆螺母用止动垫圈1个，材料：Q235钢，规格：Ø25mm，精度：IT7级。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15）圆螺母1个，材料：45#钢，规格：M25×1.5，精度：IT7级。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16）圆柱滚子轴承1个，材料：轴承钢，规格：304E，精度：IT6级。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17）调心滚子轴承1个，材料：轴承钢，规格：22205CC/W3，精度：IT6级。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18）O型圈2个，材料：丁腈橡胶，规格：Ø51.5x2.65mm，精度：IT7级。</w:t>
            </w:r>
          </w:p>
          <w:p w14:paraId="4A7CD87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val="zh-CN"/>
              </w:rPr>
              <w:t>）</w:t>
            </w:r>
            <w:r>
              <w:rPr>
                <w:rFonts w:hint="eastAsia" w:ascii="仿宋" w:hAnsi="仿宋" w:eastAsia="仿宋" w:cs="仿宋"/>
                <w:i w:val="0"/>
                <w:iCs w:val="0"/>
                <w:color w:val="000000"/>
                <w:kern w:val="0"/>
                <w:sz w:val="24"/>
                <w:szCs w:val="24"/>
                <w:highlight w:val="none"/>
                <w:u w:val="none"/>
                <w:lang w:val="en-US" w:eastAsia="zh-CN" w:bidi="ar"/>
              </w:rPr>
              <w:t>滚珠丝杠滑台模型要求</w:t>
            </w:r>
          </w:p>
          <w:p w14:paraId="5FF3951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底板、丝杠副、固定端轴承座、活动端轴承座、直线导轨、滑台顶板、丝杠螺母固定块、滑块垫高块、轴承座调整块、直线导轨限位块、手轮等零部件组成。可完成丝杠轴心线等高、直线导轨间的平行度、滚珠丝杆与直线导轨平行度等的检测及调整实训。</w:t>
            </w:r>
          </w:p>
          <w:p w14:paraId="75AD2FC9">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1）底板1块，材料：45#钢，规格：310x220x20mm，精度：IT7级，粗糙度≤3.2μm。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2）丝杠副1套，材料：304不锈钢，规格：2505，精度：IT6级，粗糙度≤3.2μm。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3）固定端轴承座1个，材料：45#钢，规格：内孔20mm，精度：IT6级，粗糙度≤3.2μm。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4）活动端轴承座1个，材料：45#钢，规格：内孔20mm，精度：IT6级，粗糙度≤3.2μm。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5）直线导轨2根，材料：不锈钢钢，规格：12C，长度220mm，精度：IT6级，粗糙度≤3.2μm。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6）滑台顶板1块，材料：45#钢，规格：210x80x10mm，精度：IT7级，粗糙度≤3.2μm。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7）丝杠螺母固定块1个，材料：45#钢，规格：62x40x49mm，精度：IT7级，粗糙度≤3.2μm。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8）滑块垫高块2个，材料：45#钢，规格：40x35x47mm，精度：IT7级，粗糙度≤3.2μm。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9）轴承座调整块4个，材料：45#钢，规格：26x15x55mm，精度：IT7级，粗糙度≤3.2μm。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10）直线导轨限位块2个，材料：丁腈橡胶，规格：20x10x12mm，精度：IT7级。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11）手轮1个，材料：45#钢，规格：Ø80mmmm，精度：IT7级，粗糙度≤3.2μm。</w:t>
            </w:r>
          </w:p>
          <w:p w14:paraId="35568D03">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b w:val="0"/>
                <w:bCs w:val="0"/>
                <w:sz w:val="24"/>
                <w:szCs w:val="24"/>
                <w:highlight w:val="none"/>
                <w:lang w:val="zh-CN"/>
              </w:rPr>
            </w:pPr>
          </w:p>
          <w:p w14:paraId="3D34428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lang w:val="zh-CN"/>
              </w:rPr>
              <w:t>）</w:t>
            </w:r>
            <w:r>
              <w:rPr>
                <w:rFonts w:hint="eastAsia" w:ascii="仿宋" w:hAnsi="仿宋" w:eastAsia="仿宋" w:cs="仿宋"/>
                <w:i w:val="0"/>
                <w:iCs w:val="0"/>
                <w:color w:val="000000"/>
                <w:kern w:val="0"/>
                <w:sz w:val="24"/>
                <w:szCs w:val="24"/>
                <w:highlight w:val="none"/>
                <w:u w:val="none"/>
                <w:lang w:val="en-US" w:eastAsia="zh-CN" w:bidi="ar"/>
              </w:rPr>
              <w:t>机床主轴模型</w:t>
            </w:r>
            <w:r>
              <w:rPr>
                <w:rFonts w:hint="eastAsia" w:ascii="仿宋" w:hAnsi="仿宋" w:eastAsia="仿宋" w:cs="仿宋"/>
                <w:sz w:val="24"/>
                <w:szCs w:val="24"/>
                <w:highlight w:val="none"/>
                <w:lang w:val="zh-CN"/>
              </w:rPr>
              <w:t>要求</w:t>
            </w:r>
          </w:p>
          <w:p w14:paraId="3ACA78F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主要由模拟主轴、轴承（角接触轴承和深沟球轴承两种）及轴承座、轴承座垫块（带调整装置）、芯棒、底板等组成，可由机械传动组件驱动，与滚珠丝杆直线滑台配合实现工件的模拟加工，可完成主轴的轴向窜动、径向跳动的检测及调整实训。</w:t>
            </w:r>
          </w:p>
          <w:p w14:paraId="35509DD4">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zh-CN" w:eastAsia="zh-CN" w:bidi="ar"/>
              </w:rPr>
            </w:pPr>
            <w:r>
              <w:rPr>
                <w:rFonts w:hint="eastAsia" w:ascii="仿宋" w:hAnsi="仿宋" w:eastAsia="仿宋" w:cs="仿宋"/>
                <w:i w:val="0"/>
                <w:iCs w:val="0"/>
                <w:color w:val="000000"/>
                <w:kern w:val="0"/>
                <w:sz w:val="24"/>
                <w:szCs w:val="24"/>
                <w:highlight w:val="none"/>
                <w:u w:val="none"/>
                <w:lang w:val="en-US" w:eastAsia="zh-CN" w:bidi="ar"/>
              </w:rPr>
              <w:t>1）底板1块，材料：6063铝合金，规格：180x210x12mm，精度，IT7级，粗糙度≤3.2μm。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2）主轴1根，材料：45#钢，规格：Ø32x202mm，精度：IT6级，粗糙度≤3.2μm。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3）固定端轴承座1个，材料：6063铝合金，规格：25mm，精度：IT6级。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4）活动端轴承座1个，材料：6063铝合金，规格：25mm，精度：IT6级。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5）固定端轴承座垫块1个，材料：6063铝合金，规格：160x42x75mm，精度：IT7级。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6）活动端轴承座垫块1个，材料：6063铝合金，规格：160x30x75mm，精度：IT7级。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7）轴承座调整块4个，材料：6063铝合金，规格：30x15x35mm，精度：IT7级。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8）三爪卡盘固定法兰1个，材料：6063铝合金，规格：Ø80x45mm，精度：IT7级。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9）三爪卡盘1个，材料：6063铝合金，规格：手动联动80mm，精度：IT7级。</w:t>
            </w:r>
          </w:p>
          <w:p w14:paraId="1568A72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zh-CN"/>
              </w:rPr>
              <w:t>）</w:t>
            </w:r>
            <w:r>
              <w:rPr>
                <w:rFonts w:hint="eastAsia" w:ascii="仿宋" w:hAnsi="仿宋" w:eastAsia="仿宋" w:cs="仿宋"/>
                <w:i w:val="0"/>
                <w:iCs w:val="0"/>
                <w:color w:val="000000"/>
                <w:kern w:val="0"/>
                <w:sz w:val="24"/>
                <w:szCs w:val="24"/>
                <w:highlight w:val="none"/>
                <w:u w:val="none"/>
                <w:lang w:val="en-US" w:eastAsia="zh-CN" w:bidi="ar"/>
              </w:rPr>
              <w:t>自动铣削加工工作站</w:t>
            </w:r>
            <w:r>
              <w:rPr>
                <w:rFonts w:hint="eastAsia" w:ascii="仿宋" w:hAnsi="仿宋" w:eastAsia="仿宋" w:cs="仿宋"/>
                <w:sz w:val="24"/>
                <w:szCs w:val="24"/>
                <w:highlight w:val="none"/>
                <w:lang w:val="zh-CN"/>
              </w:rPr>
              <w:t>要求</w:t>
            </w:r>
          </w:p>
          <w:p w14:paraId="47662C12">
            <w:pPr>
              <w:keepNext w:val="0"/>
              <w:keepLines w:val="0"/>
              <w:pageBreakBefore w:val="0"/>
              <w:widowControl w:val="0"/>
              <w:kinsoku/>
              <w:wordWrap/>
              <w:overflowPunct/>
              <w:topLinePunct w:val="0"/>
              <w:bidi w:val="0"/>
              <w:adjustRightInd w:val="0"/>
              <w:spacing w:line="260" w:lineRule="exact"/>
              <w:textAlignment w:val="auto"/>
              <w:outlineLvl w:val="9"/>
              <w:rPr>
                <w:rFonts w:hint="eastAsia" w:ascii="宋体" w:hAnsi="宋体" w:eastAsia="宋体" w:cs="宋体"/>
                <w:b/>
                <w:bCs/>
                <w:i w:val="0"/>
                <w:iCs w:val="0"/>
                <w:color w:val="FF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主要由电磁离合器、万向联轴器、角接触球轴承、深沟球轴承、圆锥滚子轴承、滚珠丝杠副及直线导轨运动、锥齿轮副传动、花键轴传动、齿轮齿条传动、刀套、铣刀、料槽、自定心虎钳、工件、光电传感器、便携式吸尘器等组成，即可与传动系统配合实现零件的铣削加工，也可进行模块的装调实训。</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中标人在中标公告发布后3个工作日内提供样机演示，不提供或演示不通过采购人可取消其中标资格。</w:t>
            </w:r>
          </w:p>
          <w:p w14:paraId="26CAB3B5">
            <w:pPr>
              <w:keepNext w:val="0"/>
              <w:keepLines w:val="0"/>
              <w:pageBreakBefore w:val="0"/>
              <w:widowControl w:val="0"/>
              <w:numPr>
                <w:ilvl w:val="0"/>
                <w:numId w:val="0"/>
              </w:numPr>
              <w:kinsoku/>
              <w:wordWrap/>
              <w:overflowPunct/>
              <w:topLinePunct w:val="0"/>
              <w:bidi w:val="0"/>
              <w:adjustRightInd w:val="0"/>
              <w:spacing w:line="260" w:lineRule="exact"/>
              <w:jc w:val="both"/>
              <w:textAlignment w:val="auto"/>
              <w:outlineLvl w:val="9"/>
              <w:rPr>
                <w:rFonts w:hint="eastAsia" w:ascii="仿宋" w:hAnsi="仿宋" w:eastAsia="仿宋" w:cs="仿宋"/>
                <w:b w:val="0"/>
                <w:bCs w:val="0"/>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1）电磁离合器1套，材料：45#钢，规格：DLD6-20A。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2）万向联轴器1个，材料：6063铝合金，规格：25x120mm-8mm-10mm，精度：IT7级。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3）角接触球轴承5对，材料：轴承钢，规格：7004C/DB，精度：IT6级，粗糙度≤3.2μm。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4）深沟球轴承2个，材料：轴承钢，规格：6001，6004各一个，精度：IT6级，粗糙度≤3.2μm。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5）圆锥滚子轴承2个，材料：轴承钢，规格：329/22，32904各一个，精度：IT6级，粗糙度≤3.2μm。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6）滚珠丝杠1副，材料：304不锈钢，规格：1202-DFC7-291-P0-0.05，精度：IT6级，粗糙度≤3.2μm。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7）直线导轨1副，材料：304不锈钢，规格：15C，长度230mm，精度：IT6级，粗糙度≤3.2μm。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8）锥齿轮1对，材料：45#钢，规格：m=2，Z=30，Z=50，内孔径d=14mm，精度：IT7级，粗糙度≤3.2μm。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9）花键轴1根，材料：45#钢，规格：Ø14x250mm，精度：IT6级，粗糙度≤3.2μm。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10）齿轮1个，材料：45#钢，规格：m=1，Z=25，内孔径d=14mm，精度：IT6级，粗糙度≤3.2μm。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11）齿条1根，材料：45#钢，规格：m=1，Ø60x59mm，精度：IT6级，粗糙度≤3.2μm。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12）刀套1个，材料：45#钢，规格：16mm，精度：IT6级。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13）铣刀5把，材料：钨钢，规格：6x18x6Dx50，精度：IT6级。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14）料槽1个，材料：304不锈钢钢，规格：120x194mm，精度：IT12级。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15）自定心虎钳1个，材料：45#钢，规格：H54,可夹持8-55mm。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16）工件20个，材料：电木，规格：54x30x15mm，精度：IT6级。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17）光电传感器2个，材料：ABS，规格：674WR。</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18）便携式吸尘器1个，材料：ABS，规格：超级快充，配套、加长软管、加长扁长嘴。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19）装调套筒、滑块1套，材料：45#钢，规格：与铣削加工模型配套，精度：IT7级。</w:t>
            </w:r>
          </w:p>
          <w:p w14:paraId="3A59A9B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val="zh-CN"/>
              </w:rPr>
              <w:t>.智能化监测及负载模块</w:t>
            </w:r>
          </w:p>
          <w:p w14:paraId="538745D8">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kern w:val="2"/>
                <w:sz w:val="24"/>
                <w:szCs w:val="24"/>
                <w:highlight w:val="none"/>
                <w:lang w:val="zh-CN" w:eastAsia="zh-CN" w:bidi="ar-SA"/>
              </w:rPr>
              <w:t>（1）</w:t>
            </w:r>
            <w:r>
              <w:rPr>
                <w:rFonts w:hint="eastAsia" w:ascii="仿宋" w:hAnsi="仿宋" w:eastAsia="仿宋" w:cs="仿宋"/>
                <w:sz w:val="24"/>
                <w:szCs w:val="24"/>
                <w:highlight w:val="none"/>
                <w:lang w:val="zh-CN"/>
              </w:rPr>
              <w:t>控制器</w:t>
            </w:r>
          </w:p>
          <w:p w14:paraId="4AEC2C1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输入电压范围85～264VAC，集成PROFINET（10/100 Mbit/s）、RS485（最大至187.5 Mbps）通信接口，数据存储器≥8192Byte,可用电源24VDC/300mA，指令运行时间最快可至0.15us。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开关量输入电压DC24V,标准输入端输入延迟时间可编程设置，输入信号响应时间可至0.2ms。开关量输出端的通断能力阻性负载可至2A，交流感性负载可至200W，开关频率可至1Hz。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模拟量输入输出信号类型可编程设置，模拟量输入分辨率12位，最大耐压/耐流35V/40mA,精度可至满量程的±0.2%；模拟量输出分辨率11位，精度可至满量程±0.5%，电压负载阻抗≥1000Ω、电流负载阻抗≤500Ω。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（2）电源控制接口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具有电磁离合器、光电传感器、加载部件、三相交流驱动电机、单相AC220V交流电源等控制接口。单相交流电源接口具有欠压及过压自动检测保护功能，保护范围165V～270V,故障后可自动复位，无需人工操作，复位时间≥25±5s,设有电源、保护状态指示灯，方便观察工作状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（3）负载部件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配套安装支架，可与上位机监控系统配合，实现传动系统可调加载。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Times New Roman"/>
                <w:sz w:val="28"/>
                <w:szCs w:val="28"/>
                <w:highlight w:val="none"/>
              </w:rPr>
              <w:t>★</w:t>
            </w:r>
            <w:r>
              <w:rPr>
                <w:rFonts w:hint="eastAsia" w:ascii="仿宋" w:hAnsi="仿宋" w:eastAsia="仿宋" w:cs="仿宋"/>
                <w:i w:val="0"/>
                <w:iCs w:val="0"/>
                <w:color w:val="000000"/>
                <w:kern w:val="0"/>
                <w:sz w:val="24"/>
                <w:szCs w:val="24"/>
                <w:highlight w:val="none"/>
                <w:u w:val="none"/>
                <w:lang w:val="en-US" w:eastAsia="zh-CN" w:bidi="ar"/>
              </w:rPr>
              <w:t>（4）上位机监控系统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可实现传动系统的加载控制、驱动电机的电源及转速控制及系统工作状态的监控等功能</w:t>
            </w:r>
            <w:r>
              <w:rPr>
                <w:rFonts w:hint="eastAsia" w:ascii="仿宋" w:hAnsi="仿宋" w:eastAsia="仿宋" w:cs="仿宋"/>
                <w:sz w:val="24"/>
                <w:szCs w:val="24"/>
                <w:highlight w:val="none"/>
                <w:lang w:val="zh-CN"/>
              </w:rPr>
              <w:t>。</w:t>
            </w:r>
            <w:r>
              <w:rPr>
                <w:rFonts w:hint="eastAsia" w:ascii="仿宋" w:hAnsi="仿宋" w:eastAsia="仿宋" w:cs="仿宋"/>
                <w:b/>
                <w:bCs/>
                <w:sz w:val="24"/>
                <w:szCs w:val="24"/>
                <w:highlight w:val="none"/>
                <w:lang w:val="zh-CN"/>
              </w:rPr>
              <w:t>响应文件中提供系统功能截图。</w:t>
            </w:r>
          </w:p>
          <w:p w14:paraId="6DE65C5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（5）控制及显示终端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1）监控终端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显示尺寸≥15英寸，分辨率1024*768，内存≥8G，存储器≥128G，铝合金结构设计。支持多点触摸，定位精度不低于3mm。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2）悬臂支架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双臂调节、气压旋停，具有高低升降、左右旋转、前后伸缩、倾仰调节功能，支持17-35英寸显示器，承重3-12kg,升降高度195mm,拉伸距离100-445mm,俯仰角度+85º/-30º,水平旋转360º。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3）内置配套教材资源和配套测量软件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4）配装快动按钮、急停按钮、三位旋钮、照明开关等指令按钮</w:t>
            </w:r>
            <w:r>
              <w:rPr>
                <w:rFonts w:hint="eastAsia" w:ascii="仿宋" w:hAnsi="仿宋" w:eastAsia="仿宋" w:cs="仿宋"/>
                <w:sz w:val="24"/>
                <w:szCs w:val="24"/>
                <w:highlight w:val="none"/>
                <w:lang w:val="zh-CN"/>
              </w:rPr>
              <w:t>。</w:t>
            </w:r>
          </w:p>
          <w:p w14:paraId="759B29A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8.赛训一体数字化教学管理系统（1套/批）</w:t>
            </w:r>
          </w:p>
          <w:p w14:paraId="5EED67A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系统包含日常训练、赛项模拟、成绩查看、赛项议程、专家库、实训管理等功能。强调在教学过程中将学习、实训和竞赛三个环节有机整合。赛训一体化教学创新模式结合了信息化技术和赛训课程管理内容，可用于院校日常实训课程管理、学业测评、技能鉴定考核等。通过赛训一体激发学生学习的兴趣，提高学生的专业技能、创新能力、团队协作能力等多方面能力。同时为便于用户的访问与操作，以下功能需在同一平台内，不接受各软件子系统采用不同厂商产品集成运用的解决方案，以免影响系统的整体兼容性、稳定性以及造成项目维护升级的不便利性。</w:t>
            </w:r>
          </w:p>
          <w:p w14:paraId="0C6AD64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（1）赛课系统要求</w:t>
            </w:r>
          </w:p>
          <w:p w14:paraId="5718964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1）赛道管理：根据赛事实际情况创建对应赛道，并以列表形式呈现赛道信息（如：赛道名称、赛道介绍、创建时间、赛道状态等）；</w:t>
            </w:r>
          </w:p>
          <w:p w14:paraId="1C958D6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2）赛项管理：支持赛事的赛项管理，支持创建自定义赛项并以列表呈现赛项信息（如：赛项名称、赛项介绍、开始时间、结束时间、创建时间、赛项状态）；并可以按照组织架构批量导入参赛人员；</w:t>
            </w:r>
          </w:p>
          <w:p w14:paraId="13A346F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lang w:val="zh-CN"/>
              </w:rPr>
              <w:t>3）活动管理：系统可实现学校活动的管理，并以列表形式列出创建的活动信息（如：活动名称、活动简介、开始时间、结束时间、报名人数、创建时间、活动状态）；并且可以查看报名人员列表的信息 （如：工号、姓名、手机、所属学院）；支持报名人员信息以excel的格式批量导入并提供导入模板。</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中标人在中标公告发布后3个工作日内，须提供功能演示视频给采购人核查</w:t>
            </w:r>
            <w:r>
              <w:rPr>
                <w:rFonts w:hint="eastAsia" w:ascii="仿宋" w:hAnsi="仿宋" w:eastAsia="仿宋" w:cs="仿宋"/>
                <w:b/>
                <w:bCs/>
                <w:sz w:val="22"/>
                <w:szCs w:val="22"/>
                <w:highlight w:val="none"/>
                <w:lang w:val="zh-CN"/>
              </w:rPr>
              <w:t>）</w:t>
            </w:r>
          </w:p>
          <w:p w14:paraId="00539F1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4）赛事评委：系统默认需包含赛事评委的角色，支持给用户设定角色；</w:t>
            </w:r>
          </w:p>
          <w:p w14:paraId="6DBAFDC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5）合作机构：系统需支持合作机构的管理，并以列表形式呈现合作机构信息（如：机构名称、跳转链接、创建时间、状态等）。</w:t>
            </w:r>
          </w:p>
          <w:p w14:paraId="03EA281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lang w:val="zh-CN"/>
              </w:rPr>
              <w:t>6）专家资源：支持拥有赛事评委角色的用户发起专家资格申请，系统通过审核实现专家库的添加；同时需支持添加专家，并以列表的形式呈现专家信息（如：专家名称、专家手机、专家职称、专家来源、入库时间、状态等）；支持专家信息以excel的格式批量导入并提供导入模板。</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中标人在中标公告发布后3个工作日内，须提供功能演示视频给采购人核查。</w:t>
            </w:r>
            <w:r>
              <w:rPr>
                <w:rFonts w:hint="eastAsia" w:ascii="仿宋" w:hAnsi="仿宋" w:eastAsia="仿宋" w:cs="仿宋"/>
                <w:b/>
                <w:bCs/>
                <w:sz w:val="22"/>
                <w:szCs w:val="22"/>
                <w:highlight w:val="none"/>
                <w:lang w:val="zh-CN"/>
              </w:rPr>
              <w:t>）</w:t>
            </w:r>
          </w:p>
          <w:p w14:paraId="21332EDD">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lang w:val="zh-CN"/>
              </w:rPr>
            </w:pPr>
            <w:r>
              <w:rPr>
                <w:rFonts w:hint="eastAsia" w:ascii="仿宋" w:hAnsi="仿宋" w:eastAsia="仿宋" w:cs="仿宋"/>
                <w:sz w:val="24"/>
                <w:szCs w:val="24"/>
                <w:highlight w:val="none"/>
                <w:lang w:val="zh-CN"/>
              </w:rPr>
              <w:t>7）理论在线考核：提供单选、多选、判断等题型及答案解析的录入；组卷规则：可配置各类题型、分值，师生考试时候可根据所选题库中的题目组卷；同时融入智能AI技术，AI组卷：系统需支持将PDF、Word、ppt等多种格式的文件转换为自然语言，并支持根据得到的自然语言一键出题，且需支持多种题目类型的生成，至少包括单选题、多选题、判断题；生成的题目需支持一键导入到题库，方便教师组卷；系统需自动把选手的成绩按名次排序；数据大屏支持自定义显示前几名人员的信息，头像等；系统需支持考试信息以列表的形式呈现，包括人员、考试次数、分数、是否通过、考试时间等信息；并且支持一键导出考试明细，方便教师对考试成绩进行统计。</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中标人在中标公告发布后2个工作日内，须提供功能演示视频给采购人核查。</w:t>
            </w:r>
            <w:r>
              <w:rPr>
                <w:rFonts w:hint="eastAsia" w:ascii="仿宋" w:hAnsi="仿宋" w:eastAsia="仿宋" w:cs="仿宋"/>
                <w:b/>
                <w:bCs/>
                <w:sz w:val="22"/>
                <w:szCs w:val="22"/>
                <w:highlight w:val="none"/>
                <w:lang w:val="zh-CN"/>
              </w:rPr>
              <w:t>）</w:t>
            </w:r>
          </w:p>
          <w:p w14:paraId="11690B3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8）实操评分系统：系统需支持对赛项实操成绩手动录入和批量导入，并且排名数据需支持以列表的形式，包括名次、姓名、工号、得分、评委评分详情等数据；系统需支持管理员自定义计分方式，计分方式包含求平均值、去掉最高分最低分求平均值等方式；系统需支持根据计分方式自动把选手的成绩按名次排序；数据大屏支持自定义显示前几名人员的信息，头像等；系统支持赛项成绩一键导出到EXCEL。</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中标人在中标公告发布后3个工作日内，须提供功能演示视频给采购人核查。</w:t>
            </w:r>
            <w:r>
              <w:rPr>
                <w:rFonts w:hint="eastAsia" w:ascii="仿宋" w:hAnsi="仿宋" w:eastAsia="仿宋" w:cs="仿宋"/>
                <w:b/>
                <w:bCs/>
                <w:sz w:val="22"/>
                <w:szCs w:val="22"/>
                <w:highlight w:val="none"/>
                <w:lang w:val="zh-CN"/>
              </w:rPr>
              <w:t>）</w:t>
            </w:r>
          </w:p>
          <w:p w14:paraId="4AEEF67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9）数据统计：通过管理平台大数据分析、统计功能将赛项管理、实训管理、理论考核成绩排行、实操考核成绩排行、赛事完成率、赛事未完成率、理论实操平均分等数据进行综合统计分析，棒图显示，形成物联综合大数据并以可视化形式展示，以供参观、决策使用。</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中标人在中标公告发布后3个工作日内，须提供功能演示视频给采购人核查。</w:t>
            </w:r>
            <w:r>
              <w:rPr>
                <w:rFonts w:hint="eastAsia" w:ascii="仿宋" w:hAnsi="仿宋" w:eastAsia="仿宋" w:cs="仿宋"/>
                <w:b/>
                <w:bCs/>
                <w:sz w:val="22"/>
                <w:szCs w:val="22"/>
                <w:highlight w:val="none"/>
                <w:lang w:val="zh-CN"/>
              </w:rPr>
              <w:t>）</w:t>
            </w:r>
          </w:p>
          <w:p w14:paraId="1A91CC1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（2）管理系统</w:t>
            </w:r>
            <w:r>
              <w:rPr>
                <w:rFonts w:hint="eastAsia" w:ascii="仿宋" w:hAnsi="仿宋" w:eastAsia="仿宋" w:cs="仿宋"/>
                <w:b/>
                <w:bCs/>
                <w:sz w:val="22"/>
                <w:szCs w:val="22"/>
                <w:highlight w:val="none"/>
                <w:lang w:val="zh-CN"/>
              </w:rPr>
              <w:t>（</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中标人在中标公告发布后3个工作日内，须提供功能演示视频给采购人核。</w:t>
            </w:r>
            <w:r>
              <w:rPr>
                <w:rFonts w:hint="eastAsia" w:ascii="仿宋" w:hAnsi="仿宋" w:eastAsia="仿宋" w:cs="仿宋"/>
                <w:b/>
                <w:bCs/>
                <w:sz w:val="22"/>
                <w:szCs w:val="22"/>
                <w:highlight w:val="none"/>
                <w:lang w:val="zh-CN"/>
              </w:rPr>
              <w:t>）</w:t>
            </w:r>
          </w:p>
          <w:p w14:paraId="3BEFB83D">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1）实训方案管理：根据实训教学安排，创建对应的实训方案，并以列表形式呈现实训信息（如：方案标题、方案内容、实训目标、负责人、开始时间、结束时间等）；</w:t>
            </w:r>
          </w:p>
          <w:p w14:paraId="42D69AF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2）实训资源管理：可实现实训课程对应的实训资源管理，以列表形式列出所选实训课程的课件资源信息（如：资源名称、资源类型、创建人、状态、创建时间等）可实现实训资源移动端查看，师生可在微信小程序点击查看相关资源；</w:t>
            </w:r>
          </w:p>
          <w:p w14:paraId="37C6101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3）实训学生管理：可实现实训课程对应的学生管理，并以列表形式呈现学生信息（如：工号、学生姓名、邮箱、手机等）；</w:t>
            </w:r>
          </w:p>
          <w:p w14:paraId="4480EEE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4）实训考勤：支持教师在实训时间内通过微信小程序查看考勤二维码，学生可通过微信扫描考勤二维码完成考勤；支持按时间段查看学生考勤信息，并批量导入考勤信息（如工号、日期、姓名、部门、状态）。</w:t>
            </w:r>
          </w:p>
          <w:p w14:paraId="2670209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数字装调检测套件</w:t>
            </w:r>
          </w:p>
          <w:p w14:paraId="72D616D1">
            <w:pPr>
              <w:keepNext w:val="0"/>
              <w:keepLines w:val="0"/>
              <w:pageBreakBefore w:val="0"/>
              <w:widowControl w:val="0"/>
              <w:kinsoku/>
              <w:wordWrap/>
              <w:overflowPunct/>
              <w:topLinePunct w:val="0"/>
              <w:bidi w:val="0"/>
              <w:adjustRightInd w:val="0"/>
              <w:spacing w:line="260" w:lineRule="exact"/>
              <w:textAlignment w:val="auto"/>
              <w:outlineLvl w:val="9"/>
              <w:rPr>
                <w:rFonts w:hint="eastAsia" w:ascii="宋体" w:hAnsi="宋体" w:cs="宋体"/>
                <w:b/>
                <w:bCs/>
                <w:color w:val="FF0000"/>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数字装调检测的内容包含平行度、垂直度、错位平行度、同面垂直度等，配有V型夹具表座移动机构、快锁机构、液压万向表座、数显仪表、无线通信发送模块、无线通信接收模块、测量软件等，可实现数字化装调检测、实时数据传输或点动记录，具有数据存储和报告导成。（</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中标人在中标公告发布后3个工作日内提供样机演示，不提供或演示不通过采购人可取消其中标资格。</w:t>
            </w:r>
            <w:r>
              <w:rPr>
                <w:rFonts w:hint="eastAsia" w:ascii="仿宋" w:hAnsi="仿宋" w:eastAsia="仿宋" w:cs="仿宋"/>
                <w:i w:val="0"/>
                <w:iCs w:val="0"/>
                <w:color w:val="000000"/>
                <w:kern w:val="0"/>
                <w:sz w:val="24"/>
                <w:szCs w:val="24"/>
                <w:highlight w:val="none"/>
                <w:u w:val="none"/>
                <w:lang w:val="en-US" w:eastAsia="zh-CN" w:bidi="ar"/>
              </w:rPr>
              <w:t>）</w:t>
            </w:r>
          </w:p>
          <w:p w14:paraId="62B0957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具体参数如下：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垂直度测量检具：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（1）底座尺寸(LxWxH)：100x60x70mm（2）适用圆柱直径(φd)：20mm（3）测量长度：45mm（4）精度 ：≤0.008mm（5）重复性：0.01mm（6）符合生产厂企业标准（7）可夹持圆柱形工件用于检验两轴平行度（8）表面淬火（9）底座V形槽适用于圆柱形工件（10）响应文件须提供检具效果图或实物图片、配套软件截图等。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平行度测量检具：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（1）底座尺寸(LxWxH)：100x60x70mm（2）适用圆柱直径(φd)：20mm（3）测量长度：45mm（4）精度 ： ≤0.008mm（5）重复性：0.01mm（6）符合生产厂企业标准（7）可夹持圆柱形工件用于检验两轴垂直度（8）表面淬火（9）底座V形槽适用于圆柱形工件（10）响应文件须提供检具效果图或实物图片、配套软件截图等。</w:t>
            </w:r>
          </w:p>
          <w:p w14:paraId="1756CAC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zh-CN"/>
              </w:rPr>
              <w:t>配件（含工具及量具）</w:t>
            </w:r>
          </w:p>
          <w:p w14:paraId="6868C4D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（1）工具</w:t>
            </w:r>
          </w:p>
          <w:p w14:paraId="0FF555E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主要工具有橡胶锤、铁锤、紫铜棒、内六角扳手、扭力扳手、皮带扳手、活扳手等；主要量具有钢直尺、卷尺、数显游标卡尺、百分表（带万向磁力表座）、塞尺、笔式皮带张力计等</w:t>
            </w:r>
            <w:r>
              <w:rPr>
                <w:rFonts w:hint="eastAsia" w:ascii="仿宋" w:hAnsi="仿宋" w:eastAsia="仿宋" w:cs="仿宋"/>
                <w:sz w:val="24"/>
                <w:szCs w:val="24"/>
                <w:highlight w:val="none"/>
                <w:lang w:val="zh-CN"/>
              </w:rPr>
              <w:t>。</w:t>
            </w:r>
          </w:p>
          <w:p w14:paraId="3497952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1）橡胶锤，16oz，1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2）铁锤，规格：1 磅，全长 L≥320mm；1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3）紫铜棒，Ø14-Ø18/250mm，1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4）内六角扳手，9 件套，加长球头，1 套；  参考品牌：得力、绿林、世达、史丹利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5）开口扳手套组，8件全抛光双开口，（5.5×7-22×24），1套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6）扭力扳手，扭力范围不小于 5-25N·m，驱动头 3/8"，1 套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7）力扳手延长杆，150mm，1 把  参考品牌：得力、绿林、世达、史丹利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8）棘轮套筒扳手套装，棘轮套筒扳手，8"，60 齿设计，内六角套筒共7件，旋具头采用高级合金钢整体淬火，3mm-10mm，1套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9）皮带扳手，可调式橡皮带，15-150mm，1把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10）截链器，适用 08B 单、双排链，1 把  参考品牌：得力、绿林、世达、工匠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11）紧链器，25-60，1把  参考品牌：得力、绿林、世达、工匠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12）内卡簧钳，7寸,卡簧范围19-60mm，尖端直径Ø1.8mm，1把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13）外卡簧钳，5寸,卡簧范围10-22mm，尖端直径Ø1.3mm，1把；7寸,卡簧范围19-60mm,尖端直径Ø1.8mm，1把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14）板锉，6 寸，1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15）什锦锉，整长≧5×180mm,工作面长：70mm,包含平头扁锉、尖头半圆锉、尖头方锉、尖头等边三角锉、尖头圆锉各1件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16）螺丝刀，一字、十字各 1 把，1 套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17）钩头扳手，38-42、45-52，各1把 参考品牌：得力、绿林、世达、工匠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18）尖嘴钳，6 寸，1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19）二爪拉马，6 寸，1 只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20）黄油枪，工作压力4500PSI,出油量 1 oz./40次按压，1把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21）油枪（含机油），250ml，1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22）不锈钢调整垫片 A 型，6 种厚度规格（0.02mm、0.03mm、0.05mm、0.1mm、0.15mm、0.2mm 、0.3mm、0.5mm、1.0mm）， 每种各 10 片 参考品牌：仪迈、世达、得力、史丹利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23）活动扳手，1 把，10 寸  参考品牌：得力、绿林、世达、史丹利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24）活动扳手，1 把，12 寸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25）平行度测量套装，1 套   参考品牌：仪迈、上银、世达、得力</w:t>
            </w:r>
          </w:p>
          <w:p w14:paraId="36FC588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val="zh-CN"/>
              </w:rPr>
              <w:t>量具</w:t>
            </w:r>
          </w:p>
          <w:p w14:paraId="73551AC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zh-CN"/>
              </w:rPr>
            </w:pPr>
            <w:r>
              <w:rPr>
                <w:rFonts w:hint="eastAsia" w:ascii="仿宋" w:hAnsi="仿宋" w:eastAsia="仿宋" w:cs="仿宋"/>
                <w:i w:val="0"/>
                <w:iCs w:val="0"/>
                <w:color w:val="000000"/>
                <w:kern w:val="0"/>
                <w:sz w:val="24"/>
                <w:szCs w:val="24"/>
                <w:highlight w:val="none"/>
                <w:u w:val="none"/>
                <w:lang w:val="en-US" w:eastAsia="zh-CN" w:bidi="ar"/>
              </w:rPr>
              <w:t>1）钢直尺，0-500mm，1 把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2）卷尺，3 米，1 把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3）组合角尺，300mm，1 把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4）刀口角尺，50x80，1 把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5）角尺，60x60x300，1 把  参考品牌：得力、世达、英示、绿林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6）数显游标卡尺，0-150mm，1 把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7）游标卡尺，0-500mm，1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8）百分表，0-10mm，1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9）杠杠百分表，0-0.8mm，分度值 0.01mm，1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10）万向磁力表座， 夹持孔径φ8mm，1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11）袖珍磁力表座，夹持孔径φ8mm 带燕尾，1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12）平测头（钢），D=20mm，1 个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13）塞尺，0.02-1.00mm，1 套 参考品牌：得力、哈量、英示、成量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14）笔式皮带张力计，≥130N，1 把  参考品牌：得力、哈量、英示、成量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15）测速仪，支持 3 种测速模式，1 套  参考品牌：优利德、胜利、特安斯、世达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16）红外线测温仪，1 套   参考品牌：优利德、胜利、特安斯、世达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17）针规，材料:GCr15,粗糙度0.20um，直径3.000mm，长度50mm，1根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18）针规，材料:GCr15,粗糙度0.20um，直径4.000mm，长度50mm，1根   参考品牌：上工、哈量、英示、成量</w:t>
            </w:r>
          </w:p>
          <w:p w14:paraId="635E126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10.实训室教师端布置一套智擎Pro多模态交互平台</w:t>
            </w:r>
          </w:p>
          <w:p w14:paraId="0DD4601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采用多模态智能引擎架构，支持DeepSeek、Qwen、豆包等主流大模型无缝接入，结合私有化RAG（检索增强生成）引擎与动态微调技术，构建可扩展的认知计算中枢。通过Web/移动多端智能适配，提供全栈式AI能力开放接口，实现知识检索与生成能力的深度融合；支持输入输出管理、公有库调用、用户管理、AI题库管理，可以用于基础知识视频学习、实训项目教学指导、样例程序编写、程序纠错、AI出题。</w:t>
            </w:r>
          </w:p>
          <w:p w14:paraId="74F7303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rPr>
            </w:pPr>
            <w:r>
              <w:rPr>
                <w:rFonts w:hint="eastAsia" w:ascii="仿宋" w:hAnsi="仿宋" w:eastAsia="仿宋" w:cs="仿宋"/>
                <w:sz w:val="24"/>
                <w:szCs w:val="24"/>
                <w:highlight w:val="none"/>
              </w:rPr>
              <w:t>（1）智能交互中枢：多模态输入系统，支持文本/语音双通道智能识别，集成多方言语音识别引擎。动态意图解析引擎，基于RAG技术实现三级问题聚焦（领域判定→知识库精准检索→模糊问题推荐），关联问题推荐准确率&gt;92%。全媒体内容生成：支持文本/表格/图表/视频的多模态输出</w:t>
            </w:r>
            <w:r>
              <w:rPr>
                <w:rFonts w:hint="eastAsia" w:ascii="仿宋" w:hAnsi="仿宋" w:eastAsia="仿宋" w:cs="仿宋"/>
                <w:sz w:val="24"/>
                <w:szCs w:val="24"/>
                <w:highlight w:val="none"/>
                <w:lang w:eastAsia="zh-CN"/>
              </w:rPr>
              <w:t>。</w:t>
            </w:r>
          </w:p>
          <w:p w14:paraId="2CB3DEA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trike/>
                <w:dstrike w:val="0"/>
                <w:color w:val="FF0000"/>
                <w:sz w:val="24"/>
                <w:szCs w:val="24"/>
                <w:highlight w:val="none"/>
              </w:rPr>
            </w:pPr>
            <w:r>
              <w:rPr>
                <w:rFonts w:hint="eastAsia" w:ascii="仿宋" w:hAnsi="仿宋" w:eastAsia="仿宋" w:cs="仿宋"/>
                <w:sz w:val="24"/>
                <w:szCs w:val="24"/>
                <w:highlight w:val="none"/>
              </w:rPr>
              <w:t>（2）工业级RAG知识中枢：公有知识库由管理员后台管理，包含液压与气动类知识库，机电一体化类知识库，工业机器人类知识库，机械与钳工类知识库，数控机床类知识库，制冷与热工类知识库、楼宇与建筑类知识库，电工电子类知识库，超50万条结构化知识单元；智能检索增强引擎采用动态上下文感知技术，支持多模态数据（文档/视频/代码）的语义检索与知识关联。</w:t>
            </w:r>
          </w:p>
          <w:p w14:paraId="2CAE7C4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（3）智能评估中枢：可自动输出理论考卷和实操考卷。理论部分支持单选题、多选题、判断题、简答题，单一类型出题，也可混合出题，并输出参考答案，实操部分支持实操任务书和评分表。</w:t>
            </w:r>
          </w:p>
          <w:p w14:paraId="41FDBD6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平台扩展能力：支持混合云RAG架构，兼容主流向量数据库与语义检索框架。提供知识库增量学习接口，支持行业专属知识的低代码快速迭代。内置服务监控看板，实时追踪检索命中率、生成相关性等30+项AI核心指标。</w:t>
            </w:r>
          </w:p>
          <w:p w14:paraId="654F547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i w:val="0"/>
                <w:iCs w:val="0"/>
                <w:color w:val="auto"/>
                <w:sz w:val="24"/>
                <w:szCs w:val="24"/>
                <w:highlight w:val="none"/>
                <w:u w:val="none"/>
                <w:lang w:val="en-US" w:eastAsia="zh-CN" w:bidi="ar"/>
              </w:rPr>
            </w:pPr>
            <w:r>
              <w:rPr>
                <w:rFonts w:hint="eastAsia" w:ascii="仿宋" w:hAnsi="仿宋" w:eastAsia="仿宋" w:cs="仿宋"/>
                <w:b/>
                <w:bCs/>
                <w:i w:val="0"/>
                <w:iCs w:val="0"/>
                <w:color w:val="auto"/>
                <w:sz w:val="24"/>
                <w:szCs w:val="24"/>
                <w:highlight w:val="none"/>
                <w:u w:val="none"/>
                <w:lang w:val="en-US" w:eastAsia="zh-CN" w:bidi="ar"/>
              </w:rPr>
              <w:t>（5）中标人在中标公告发布后3个工作日提供样机演示，不提供或演示不通过采购人可取消其中标资格。</w:t>
            </w:r>
          </w:p>
          <w:p w14:paraId="75BC71F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三、教学资源（1套/批）</w:t>
            </w:r>
          </w:p>
          <w:p w14:paraId="1D27D4E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1.齿轮范成仿真测试软件要求</w:t>
            </w:r>
          </w:p>
          <w:p w14:paraId="710D4A7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sz w:val="24"/>
                <w:szCs w:val="24"/>
                <w:highlight w:val="none"/>
              </w:rPr>
            </w:pPr>
            <w:r>
              <w:rPr>
                <w:rFonts w:hint="eastAsia" w:ascii="仿宋" w:hAnsi="仿宋" w:eastAsia="仿宋" w:cs="仿宋"/>
                <w:sz w:val="24"/>
                <w:szCs w:val="24"/>
                <w:highlight w:val="none"/>
              </w:rPr>
              <w:t>具有齿轮范成相关参数设置选项，内置国标一、二系列模数数据。既可自动计算出齿轮相关参数并自动生成范成轮廓；也可采用手动方式，可以一步步看到整个范成过程。</w:t>
            </w:r>
          </w:p>
          <w:p w14:paraId="427A41B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2.联轴器对中辅助软件要求</w:t>
            </w:r>
          </w:p>
          <w:p w14:paraId="450E221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联轴器对中辅助软件须至少包含以下功能，</w:t>
            </w:r>
          </w:p>
          <w:p w14:paraId="5FB0D4D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（1）软件支持Android平台；</w:t>
            </w:r>
          </w:p>
          <w:p w14:paraId="40B3AC5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（2）公英制单位设置选择；</w:t>
            </w:r>
          </w:p>
          <w:p w14:paraId="12E43EF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（3）3D动画界面设计；</w:t>
            </w:r>
          </w:p>
          <w:p w14:paraId="20CCEDB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（4）对中步骤引导；</w:t>
            </w:r>
          </w:p>
          <w:p w14:paraId="1073DE0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（5）测量数据修正</w:t>
            </w:r>
          </w:p>
          <w:p w14:paraId="68BB126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（6）夹具挠度补偿</w:t>
            </w:r>
          </w:p>
          <w:p w14:paraId="60CCC6E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（7）自动计算对中结果、调整量提示。</w:t>
            </w:r>
          </w:p>
          <w:p w14:paraId="13035A2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3.数字化立体教材软件平台要求</w:t>
            </w:r>
          </w:p>
          <w:p w14:paraId="55B0473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（1）软件平台应基于云端的开放性平台，采用</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"https://www.so.com/link?m=aP%2B%2Bw2X9Ir91m8EmodJS%2BKENOUOPT0ViauPPxtE6Rlk533d3op6Dz1jqC7BOJkta%2FH%2Bho1hS4%2FNDjQVV4IcpsnThxNxVr4i6%2BUtDsjirnJYPSWZTTCgSrPdSpM8Gg0qaWPCShKWC%2BN0aKf2%2B7KxiHk8BueG%2B8zzQUJfBG4xv%2FMs0HMazLDvIDWdmJUhv6Fw%2Fa" \t "_blank"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HTML 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网页技术开发，支持离线在线访问，可与学校数字化校园网互联互通，可无缝进行数据互传，可开放连接校园网网络接口，通过账号及密码可访问该资源，后台资源实时更新。</w:t>
            </w:r>
          </w:p>
          <w:p w14:paraId="25EF1B6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（2）平台发布资源应具有3D效果，支持文档搜索、复制、放大、缩小、打印、文档处理等功能。</w:t>
            </w:r>
          </w:p>
          <w:p w14:paraId="5E51A6D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（3）平台应集成设备服务系统，可完成查看设备信息包含技术配置、使用说明，质检报告等，可完成设备远程保修及技术支持，通过文字描述、图片等寻求厂家技术服务；支持查看服务进度，支持评价及投诉。</w:t>
            </w:r>
          </w:p>
          <w:p w14:paraId="46B0B23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（4）资源应集成设备实训指导书；</w:t>
            </w:r>
          </w:p>
          <w:p w14:paraId="7AF3ACC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（5）须集成符合机械传动平台比赛资源包；应提供机械传动平台的相关的各种赛事试题。赛事种类不少于五种（要求为省级及以上赛事，国家一类赛事不少于两项），应提供有评分标准，试题不少于10套。</w:t>
            </w:r>
          </w:p>
          <w:p w14:paraId="1049E73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（6）可调用演示机械传动组件一、机械传动组件二的两种组合方案的运行视频（须基于实际设备）。</w:t>
            </w:r>
          </w:p>
          <w:p w14:paraId="0C6E2AB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（7）可调用演示“联轴器对中辅助软件”功能及对中过程。</w:t>
            </w:r>
          </w:p>
          <w:p w14:paraId="0A3C205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（8）资源须由一个统一的目录链接访问，方便管理。</w:t>
            </w:r>
          </w:p>
          <w:p w14:paraId="0828A49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中标人在中标公告发布后3个工作日内，须提供</w:t>
            </w:r>
            <w:r>
              <w:rPr>
                <w:rFonts w:hint="eastAsia" w:ascii="仿宋" w:hAnsi="仿宋" w:eastAsia="仿宋" w:cs="仿宋"/>
                <w:b/>
                <w:bCs/>
                <w:color w:val="auto"/>
                <w:sz w:val="24"/>
                <w:szCs w:val="24"/>
                <w:highlight w:val="none"/>
              </w:rPr>
              <w:t>数字化立体教材软件平台功能视频演示</w:t>
            </w:r>
            <w:r>
              <w:rPr>
                <w:rFonts w:hint="eastAsia" w:ascii="仿宋" w:hAnsi="仿宋" w:eastAsia="仿宋" w:cs="仿宋"/>
                <w:b/>
                <w:bCs/>
                <w:i w:val="0"/>
                <w:iCs w:val="0"/>
                <w:color w:val="auto"/>
                <w:sz w:val="24"/>
                <w:szCs w:val="24"/>
                <w:highlight w:val="none"/>
                <w:u w:val="none"/>
                <w:lang w:val="en-US" w:eastAsia="zh-CN" w:bidi="ar"/>
              </w:rPr>
              <w:t>给采购人核查，不提供或核查不通过采购人可取消其中标资格。</w:t>
            </w:r>
          </w:p>
          <w:p w14:paraId="4917AAF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4.机械传动平台世赛资源包要求</w:t>
            </w:r>
          </w:p>
          <w:p w14:paraId="588F36B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须提供基于世赛工业机械赛项机械传动平台模块的相关资源，须包含以下内容：</w:t>
            </w:r>
          </w:p>
          <w:p w14:paraId="06DEF47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（1）最近一届工业机械赛项机械传动平台模块的试题；</w:t>
            </w:r>
          </w:p>
          <w:p w14:paraId="7BC821F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（2）工业机械赛项机械传动模块比赛平台配套资源。</w:t>
            </w:r>
          </w:p>
          <w:p w14:paraId="341D4A7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1）齿轮传动1：齿轮传动概述、正齿轮安装、齿轮间隙调整、速度与速比等。</w:t>
            </w:r>
          </w:p>
          <w:p w14:paraId="60508D9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2）带传动1：带传动概述、带传动安装与带轮对中、带传动张力计算、带轮节圆直径、速度与扭矩比等。</w:t>
            </w:r>
          </w:p>
          <w:p w14:paraId="30636B4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3）链传动1：链传动概述、链条安装与链轮对中、链条张力计算、速度、扭矩与链轮速比。</w:t>
            </w:r>
          </w:p>
          <w:p w14:paraId="0356F5F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4）齿轮传动2：斜齿轮、蜗轮蜗杆、锥齿轮、齿轮箱等。</w:t>
            </w:r>
          </w:p>
          <w:p w14:paraId="48EB49B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5）带传动2：同步带传动、变速带传动、多速带传动、多槽带传动等。</w:t>
            </w:r>
          </w:p>
          <w:p w14:paraId="0767974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6）链传动2：多排链传动、惰轮等。</w:t>
            </w:r>
          </w:p>
          <w:p w14:paraId="2FD7DC5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7）轴承与密封：相关轴承与密封模型。</w:t>
            </w:r>
          </w:p>
          <w:p w14:paraId="73C7292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8）轴对中：直尺与塞尺、机械表打表、激光对中、法兰联轴器、挠性联轴器等。</w:t>
            </w:r>
          </w:p>
          <w:p w14:paraId="5C311CE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9）振动测量、离合制动器等。</w:t>
            </w:r>
          </w:p>
          <w:p w14:paraId="1E0543F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10）竞赛试题库：提供第46届世界技能大赛“工业机械项目”首次阶段性考核试题库不少于13套。</w:t>
            </w:r>
          </w:p>
          <w:p w14:paraId="0AA26F4B">
            <w:pPr>
              <w:pStyle w:val="24"/>
              <w:keepNext w:val="0"/>
              <w:keepLines w:val="0"/>
              <w:pageBreakBefore w:val="0"/>
              <w:widowControl w:val="0"/>
              <w:kinsoku/>
              <w:wordWrap/>
              <w:topLinePunct w:val="0"/>
              <w:bidi w:val="0"/>
              <w:adjustRightInd w:val="0"/>
              <w:spacing w:line="26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w:t>
            </w:r>
            <w:r>
              <w:rPr>
                <w:rFonts w:hint="eastAsia" w:ascii="仿宋" w:hAnsi="仿宋" w:eastAsia="仿宋" w:cs="仿宋"/>
                <w:b/>
                <w:bCs/>
                <w:i w:val="0"/>
                <w:iCs w:val="0"/>
                <w:color w:val="auto"/>
                <w:sz w:val="24"/>
                <w:szCs w:val="24"/>
                <w:highlight w:val="none"/>
                <w:u w:val="none"/>
                <w:lang w:val="en-US" w:eastAsia="zh-CN" w:bidi="ar"/>
              </w:rPr>
              <w:t>中标人在中标公告发布后3个工作日内提供样机演示，不提供或演示不通过采购人可取消其中标资格。</w:t>
            </w:r>
          </w:p>
          <w:p w14:paraId="674B004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5.机械机构3D资源库</w:t>
            </w:r>
          </w:p>
          <w:p w14:paraId="167BE92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（1）资源库以3D形式自动演示机械机构的运行情况。</w:t>
            </w:r>
          </w:p>
          <w:p w14:paraId="2378D25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宋体" w:hAnsi="宋体" w:eastAsia="宋体" w:cs="宋体"/>
                <w:i w:val="0"/>
                <w:iCs w:val="0"/>
                <w:color w:val="000000"/>
                <w:kern w:val="0"/>
                <w:sz w:val="20"/>
                <w:szCs w:val="20"/>
                <w:highlight w:val="none"/>
                <w:u w:val="none"/>
                <w:lang w:val="en-US" w:eastAsia="zh-CN" w:bidi="ar"/>
              </w:rPr>
              <w:t>★</w:t>
            </w:r>
            <w:r>
              <w:rPr>
                <w:rFonts w:hint="eastAsia" w:ascii="仿宋" w:hAnsi="仿宋" w:eastAsia="仿宋" w:cs="仿宋"/>
                <w:sz w:val="24"/>
                <w:szCs w:val="24"/>
                <w:highlight w:val="none"/>
              </w:rPr>
              <w:t>（2）资源库内容不少于300项</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响应文件</w:t>
            </w:r>
            <w:r>
              <w:rPr>
                <w:rFonts w:hint="eastAsia" w:ascii="仿宋" w:hAnsi="仿宋" w:eastAsia="仿宋" w:cs="仿宋"/>
                <w:b/>
                <w:bCs/>
                <w:sz w:val="24"/>
                <w:szCs w:val="24"/>
                <w:highlight w:val="none"/>
              </w:rPr>
              <w:t>中列出各项具体名称）</w:t>
            </w:r>
            <w:r>
              <w:rPr>
                <w:rFonts w:hint="eastAsia" w:ascii="仿宋" w:hAnsi="仿宋" w:eastAsia="仿宋" w:cs="仿宋"/>
                <w:sz w:val="24"/>
                <w:szCs w:val="24"/>
                <w:highlight w:val="none"/>
              </w:rPr>
              <w:t>。</w:t>
            </w:r>
          </w:p>
          <w:p w14:paraId="5AA29A2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6.机械仿真加工软件</w:t>
            </w:r>
          </w:p>
          <w:p w14:paraId="643AE30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（1）兼容安卓系统，方便移动端安装学习。</w:t>
            </w:r>
          </w:p>
          <w:p w14:paraId="5FFCFE2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（2）具有新建、打开、保存工程功能，提供有不少于10个样例工程。</w:t>
            </w:r>
          </w:p>
          <w:p w14:paraId="5F48C7A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（3）至少支持一种机械加工程序指令编程，均有程序实时监控功能。</w:t>
            </w:r>
          </w:p>
          <w:p w14:paraId="430F540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（4）基于3D软件功能，具有三维移动、旋转、缩放功能，不少于5个3维视角，可观察三维仿真加工过程。</w:t>
            </w:r>
          </w:p>
          <w:p w14:paraId="1B550A4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（5）具有设备运转音效，营造逼真的运行环境。</w:t>
            </w:r>
          </w:p>
          <w:p w14:paraId="2917767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（6）配有虚拟量具，可进行尺寸测量。</w:t>
            </w:r>
          </w:p>
          <w:p w14:paraId="7F473BD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7.十字工作台装配与工艺微程开发</w:t>
            </w:r>
          </w:p>
          <w:p w14:paraId="48E4900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围绕十字工作台装配与工艺设计制作6-10分钟微课，包含十字工作台的组成、装配工艺、装配过程与方法等。</w:t>
            </w:r>
          </w:p>
          <w:p w14:paraId="54DBC27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8.教学课程资源要求</w:t>
            </w:r>
          </w:p>
          <w:p w14:paraId="39268F9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（1）提供与设备配套正规出版社出版的国家级规划教材、符合世赛标准，</w:t>
            </w:r>
          </w:p>
          <w:p w14:paraId="6FF284C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（2）要求教材涉及机械传动装配与调试教学模块不少于10个，教学课题不少于35个，实训教材应与设备配套，教材内传动装调所用设备的结构布局、功能样式等与</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产品一致。</w:t>
            </w:r>
          </w:p>
          <w:p w14:paraId="307167C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9.机械装配与调试微课</w:t>
            </w:r>
          </w:p>
          <w:p w14:paraId="3FA46F2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要求微课基于</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设备制作，与设备教材配套，内容至少包含：</w:t>
            </w:r>
          </w:p>
          <w:p w14:paraId="6E837B1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（1）带传动的组成及工作原理</w:t>
            </w:r>
          </w:p>
          <w:p w14:paraId="2D25F8E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（2）V带传动的安装与调试</w:t>
            </w:r>
          </w:p>
          <w:p w14:paraId="138A9D4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（3）用笔型传动带张力测试仪检测张力</w:t>
            </w:r>
          </w:p>
          <w:p w14:paraId="5B6B81C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（4）链传动的组成及工作原理</w:t>
            </w:r>
          </w:p>
          <w:p w14:paraId="7A2F4DF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（5）链传动的安装与调试</w:t>
            </w:r>
          </w:p>
          <w:p w14:paraId="28D288F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（6）齿侧间隙的检验</w:t>
            </w:r>
          </w:p>
          <w:p w14:paraId="75FF52E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（7）齿轮与轴的装配</w:t>
            </w:r>
          </w:p>
          <w:p w14:paraId="1257DE1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10.机械系统设计分析教程</w:t>
            </w:r>
          </w:p>
          <w:p w14:paraId="7E53571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采用多媒体视频教程形式，主要内容包含以下内容：</w:t>
            </w:r>
          </w:p>
          <w:p w14:paraId="544C719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（1）坐标体系介绍</w:t>
            </w:r>
          </w:p>
          <w:p w14:paraId="18372A8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（2）旋转副</w:t>
            </w:r>
          </w:p>
          <w:p w14:paraId="0899CA8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（3）滑动副</w:t>
            </w:r>
          </w:p>
          <w:p w14:paraId="628DC38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（4）滑动旋转副</w:t>
            </w:r>
          </w:p>
          <w:p w14:paraId="3D80E9F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（5）模型制作、碰撞模拟</w:t>
            </w:r>
          </w:p>
          <w:p w14:paraId="0741ACF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（6）柔性绳缆</w:t>
            </w:r>
          </w:p>
          <w:p w14:paraId="6D6710B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（7）滑轮组模拟</w:t>
            </w:r>
          </w:p>
          <w:p w14:paraId="04F851E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（8）弹性杆模拟</w:t>
            </w:r>
          </w:p>
          <w:p w14:paraId="42347F9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（9）导入外部CAD模型和参数继承</w:t>
            </w:r>
          </w:p>
        </w:tc>
      </w:tr>
      <w:tr w14:paraId="56B10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 w:type="pct"/>
            <w:tcBorders>
              <w:top w:val="single" w:color="auto" w:sz="4" w:space="0"/>
              <w:left w:val="single" w:color="auto" w:sz="4" w:space="0"/>
              <w:bottom w:val="single" w:color="auto" w:sz="4" w:space="0"/>
              <w:right w:val="single" w:color="auto" w:sz="4" w:space="0"/>
            </w:tcBorders>
            <w:noWrap w:val="0"/>
            <w:vAlign w:val="center"/>
          </w:tcPr>
          <w:p w14:paraId="64DF404F">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5EE8E154">
            <w:pPr>
              <w:keepNext w:val="0"/>
              <w:keepLines w:val="0"/>
              <w:pageBreakBefore w:val="0"/>
              <w:widowControl w:val="0"/>
              <w:kinsoku/>
              <w:wordWrap/>
              <w:overflowPunct/>
              <w:topLinePunct w:val="0"/>
              <w:autoSpaceDE w:val="0"/>
              <w:autoSpaceDN w:val="0"/>
              <w:bidi w:val="0"/>
              <w:adjustRightInd w:val="0"/>
              <w:snapToGrid w:val="0"/>
              <w:spacing w:after="0" w:line="260" w:lineRule="exact"/>
              <w:jc w:val="left"/>
              <w:textAlignment w:val="auto"/>
              <w:outlineLvl w:val="9"/>
              <w:rPr>
                <w:rFonts w:hint="eastAsia" w:ascii="仿宋" w:hAnsi="仿宋" w:eastAsia="仿宋" w:cs="仿宋"/>
                <w:snapToGrid w:val="0"/>
                <w:kern w:val="0"/>
                <w:sz w:val="24"/>
                <w:szCs w:val="24"/>
                <w:highlight w:val="none"/>
                <w:lang w:val="zh-CN" w:eastAsia="zh-CN" w:bidi="ar-SA"/>
              </w:rPr>
            </w:pPr>
            <w:r>
              <w:rPr>
                <w:rFonts w:hint="eastAsia" w:ascii="仿宋" w:hAnsi="仿宋" w:eastAsia="仿宋" w:cs="仿宋"/>
                <w:b w:val="0"/>
                <w:bCs/>
                <w:snapToGrid w:val="0"/>
                <w:kern w:val="0"/>
                <w:sz w:val="24"/>
                <w:szCs w:val="24"/>
                <w:highlight w:val="none"/>
                <w:lang w:val="zh-CN" w:eastAsia="zh-CN" w:bidi="ar-SA"/>
              </w:rPr>
              <w:t>现代装配钳工综合实训平台考核设备</w:t>
            </w:r>
          </w:p>
        </w:tc>
        <w:tc>
          <w:tcPr>
            <w:tcW w:w="4241" w:type="pct"/>
            <w:tcBorders>
              <w:top w:val="single" w:color="auto" w:sz="4" w:space="0"/>
              <w:left w:val="single" w:color="auto" w:sz="4" w:space="0"/>
              <w:bottom w:val="single" w:color="auto" w:sz="4" w:space="0"/>
              <w:right w:val="single" w:color="auto" w:sz="4" w:space="0"/>
            </w:tcBorders>
            <w:noWrap w:val="0"/>
            <w:vAlign w:val="center"/>
          </w:tcPr>
          <w:p w14:paraId="2D51E29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一</w:t>
            </w:r>
            <w:r>
              <w:rPr>
                <w:rFonts w:hint="eastAsia" w:ascii="仿宋" w:hAnsi="仿宋" w:eastAsia="仿宋" w:cs="仿宋"/>
                <w:sz w:val="24"/>
                <w:szCs w:val="24"/>
                <w:highlight w:val="none"/>
              </w:rPr>
              <w:t>、基本配置要求</w:t>
            </w:r>
          </w:p>
          <w:p w14:paraId="66967AB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实训工作台</w:t>
            </w:r>
            <w:r>
              <w:rPr>
                <w:rFonts w:hint="eastAsia" w:ascii="仿宋" w:hAnsi="仿宋" w:eastAsia="仿宋" w:cs="仿宋"/>
                <w:sz w:val="24"/>
                <w:szCs w:val="24"/>
                <w:highlight w:val="none"/>
              </w:rPr>
              <w:t>要求</w:t>
            </w:r>
          </w:p>
          <w:p w14:paraId="26CD454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 xml:space="preserve">1.1 实训工作台须采用钢质框架，组装式结构设计，双色亚光密纹喷塑处理；左侧台面为带槽铸铁平板，右侧台面为实木桌面板，实训台四边边角均采用R30圆角过渡，外形尺寸（长×宽×高）：≧1600mm×750mm×800mm。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1.2 带槽铸铁平板材质：HT250，槽宽≧12mm，铸铁平板尺寸：≧1000×750×40mm，铸铁平板台面经研磨、刮研处理，粗糙精度不低于 1.6μm，微见刀路痕迹。应配有上槽轨组件不少于 16 根，槽宽≧10mm；上槽轨组件应可调节地设置在下槽轨组件上，实训组件可调节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地设置在所述上槽轨组件上。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 实木桌面板尺寸：600×750×40mm，桌面铺防静电橡胶垫，安装有6寸重型台虎钳，开口度152mm，净重29kg，夹紧力3000kg。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 应设有存储柜，方便实训零件、工量具、资料等的放置及管理；底部采用工业脚轮，单轮承重不小于 500kg</w:t>
            </w:r>
            <w:r>
              <w:rPr>
                <w:rFonts w:hint="eastAsia" w:ascii="仿宋" w:hAnsi="仿宋" w:eastAsia="仿宋" w:cs="仿宋"/>
                <w:sz w:val="24"/>
                <w:szCs w:val="24"/>
                <w:highlight w:val="none"/>
              </w:rPr>
              <w:t>。</w:t>
            </w:r>
          </w:p>
          <w:p w14:paraId="58FAE8B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电控箱</w:t>
            </w:r>
            <w:r>
              <w:rPr>
                <w:rFonts w:hint="eastAsia" w:ascii="仿宋" w:hAnsi="仿宋" w:eastAsia="仿宋" w:cs="仿宋"/>
                <w:sz w:val="24"/>
                <w:szCs w:val="24"/>
                <w:highlight w:val="none"/>
              </w:rPr>
              <w:t>要求</w:t>
            </w:r>
          </w:p>
          <w:p w14:paraId="25DD184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 xml:space="preserve">2.1 电控箱应为优质冷轧钢板材质，表面密纹喷塑处理，应采用滑动隐藏收纳设计；工业变频器1个:额定功率≧0.37kW，有60秒150%过载，I/0 接口:4DI/2D0/2AI，支持 USS/MODBUS RTU 总线通讯。须配有急停按钮、三位旋钮、交流接触器、总电源开关等电气部件。响应文件需提供电控箱实物图片证明。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2.2 变频器学习软件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（1）变频器学习软件教学内容应与设备配套变频器系列产品一致； </w:t>
            </w:r>
          </w:p>
          <w:p w14:paraId="69DFDC9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基本实训组件</w:t>
            </w:r>
          </w:p>
          <w:p w14:paraId="043D62B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3.1 三相交流电机1台，卧式安装额定功率≦0.25kW，输入电压AC380V。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3.2 传动轴一2根，材料：40CrMo，规格：Ø20mm×225mm，带键槽，精度：直线度≦0.02mm/225mm，粗糙度≤0.8μm，硬度HRC28-32。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3.3 传动轴二3根，材料：40CrMo，规格：Ø20mm×350mm，带键槽，精度：直线度≦0.02mm/225mm，粗糙度≤0.8μm，硬度HRC28-32。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3.4 梅花联轴器1个，材料：45#钢，规格：外径65mm，长度90mm，轴孔14/20mm，带键槽和顶丝，精度：IT6级，粗糙度≤3.2μm。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3.5 电机安装座1件，材料：6063铝合金，规格：220x120x18.5mm，精度：IT7级。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3.6 轴承座垫高块10件，材料：6063铝合金，规格：170x40x57mm，精度：IT7级。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3.7 带立式座外球面轴承10个，材料：HT250灰口铸铁，规格：内孔20mm，精度：IT7级。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3.8 槽轨一2根，材料：6063铝合金，规格：45x45x300mm，精度：IT7级。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3.9 槽轨二4根，材料：6063铝合金，规格：45x45x365mm，精度：IT7级。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3.10 槽轨三4根，材料：6063铝合金，规格：45x45x637mm，精度：IT7级。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3.11 槽轨四6根，材料：6063铝合金，规格：45x45x952mm，精度：IT7级。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3.12 磁性座滑块，材料：45#钢，规格：50x60x20mm，精度：IT6级，粗糙度≤1.6μm</w:t>
            </w:r>
            <w:r>
              <w:rPr>
                <w:rFonts w:hint="eastAsia" w:ascii="仿宋" w:hAnsi="仿宋" w:eastAsia="仿宋" w:cs="仿宋"/>
                <w:sz w:val="24"/>
                <w:szCs w:val="24"/>
                <w:highlight w:val="none"/>
              </w:rPr>
              <w:t>。</w:t>
            </w:r>
          </w:p>
          <w:p w14:paraId="270C53B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机械传动</w:t>
            </w:r>
            <w:r>
              <w:rPr>
                <w:rFonts w:hint="eastAsia" w:ascii="仿宋" w:hAnsi="仿宋" w:eastAsia="仿宋" w:cs="仿宋"/>
                <w:sz w:val="24"/>
                <w:szCs w:val="24"/>
                <w:highlight w:val="none"/>
              </w:rPr>
              <w:t>组件</w:t>
            </w:r>
            <w:r>
              <w:rPr>
                <w:rFonts w:hint="eastAsia" w:ascii="仿宋" w:hAnsi="仿宋" w:eastAsia="仿宋" w:cs="仿宋"/>
                <w:sz w:val="24"/>
                <w:szCs w:val="24"/>
                <w:highlight w:val="none"/>
                <w:lang w:val="en-US" w:eastAsia="zh-CN"/>
              </w:rPr>
              <w:t>1带传动部分要求</w:t>
            </w:r>
          </w:p>
          <w:p w14:paraId="0CB2D03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4.1 单槽V带轮一1个，材料：45#钢，规格：A型，节径80 mm，孔径14mm，精度：IT7级，表面粗糙度≤3.2μm。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4.2 单槽V带轮二1个，材料：45#钢，规格：A型，节径80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4.3 单槽V带轮三1个，材料：45#钢，规格：A型，节径100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4.4 单槽V带轮四1个，材料：45#钢，规格：A型，节径125 mm，孔径20mm，精度：IT7级，表面粗糙度≤3.2μm。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4.5 V型皮带1根，材料：氯丁橡胶，规格：SPA1000，精度：IT12级。</w:t>
            </w:r>
          </w:p>
          <w:p w14:paraId="6DC3005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机械传动</w:t>
            </w:r>
            <w:r>
              <w:rPr>
                <w:rFonts w:hint="eastAsia" w:ascii="仿宋" w:hAnsi="仿宋" w:eastAsia="仿宋" w:cs="仿宋"/>
                <w:sz w:val="24"/>
                <w:szCs w:val="24"/>
                <w:highlight w:val="none"/>
              </w:rPr>
              <w:t>组件</w:t>
            </w:r>
            <w:r>
              <w:rPr>
                <w:rFonts w:hint="eastAsia" w:ascii="仿宋" w:hAnsi="仿宋" w:eastAsia="仿宋" w:cs="仿宋"/>
                <w:sz w:val="24"/>
                <w:szCs w:val="24"/>
                <w:highlight w:val="none"/>
                <w:lang w:val="en-US" w:eastAsia="zh-CN"/>
              </w:rPr>
              <w:t>1</w:t>
            </w:r>
            <w:r>
              <w:rPr>
                <w:rFonts w:hint="eastAsia" w:ascii="仿宋" w:hAnsi="仿宋" w:eastAsia="仿宋" w:cs="仿宋"/>
                <w:i w:val="0"/>
                <w:iCs w:val="0"/>
                <w:color w:val="000000"/>
                <w:kern w:val="0"/>
                <w:sz w:val="24"/>
                <w:szCs w:val="24"/>
                <w:highlight w:val="none"/>
                <w:u w:val="none"/>
                <w:lang w:val="en-US" w:eastAsia="zh-CN" w:bidi="ar"/>
              </w:rPr>
              <w:t>链传动部分</w:t>
            </w:r>
            <w:r>
              <w:rPr>
                <w:rFonts w:hint="eastAsia" w:ascii="仿宋" w:hAnsi="仿宋" w:eastAsia="仿宋" w:cs="仿宋"/>
                <w:sz w:val="24"/>
                <w:szCs w:val="24"/>
                <w:highlight w:val="none"/>
                <w:lang w:val="en-US" w:eastAsia="zh-CN"/>
              </w:rPr>
              <w:t>要求</w:t>
            </w:r>
          </w:p>
          <w:p w14:paraId="7521F7B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5.1 单排链条2条，材料：Q235钢，规格：08B，100节，精度：IT7级。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5.2 单排链轮一1个，材料：45#钢，规格：08B，齿数15，孔径14mm，硬度55-60HRC，精度：IT7级，齿形粗糙度≤3.2μm。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5.3 单排链轮二1个，材料：45#钢，规格：08B，齿数15，孔径20mm，硬度55-60HRC，精度：IT7级，齿形粗糙度≤3.2μm。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5.4 单排链轮三1个，材料：45#钢，规格：08B，齿数20，孔径20mm，硬度55-60HRC，精度：IT7级，齿形粗糙度≤3.2μm。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5.5 单排链轮四1个，材料：45#钢，规格：08B，齿数25，孔径20mm，硬度55-60HRC，精度：IT7级，齿形粗糙度≤3.2μm。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5.6 链条接头5个，材料：Q235钢，规格：08B，精度：IT7级.</w:t>
            </w:r>
          </w:p>
          <w:p w14:paraId="4958D3E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机械传动</w:t>
            </w:r>
            <w:r>
              <w:rPr>
                <w:rFonts w:hint="eastAsia" w:ascii="仿宋" w:hAnsi="仿宋" w:eastAsia="仿宋" w:cs="仿宋"/>
                <w:sz w:val="24"/>
                <w:szCs w:val="24"/>
                <w:highlight w:val="none"/>
              </w:rPr>
              <w:t>组件</w:t>
            </w:r>
            <w:r>
              <w:rPr>
                <w:rFonts w:hint="eastAsia" w:ascii="仿宋" w:hAnsi="仿宋" w:eastAsia="仿宋" w:cs="仿宋"/>
                <w:sz w:val="24"/>
                <w:szCs w:val="24"/>
                <w:highlight w:val="none"/>
                <w:lang w:val="en-US" w:eastAsia="zh-CN"/>
              </w:rPr>
              <w:t>1</w:t>
            </w:r>
            <w:r>
              <w:rPr>
                <w:rFonts w:hint="eastAsia" w:ascii="仿宋" w:hAnsi="仿宋" w:eastAsia="仿宋" w:cs="仿宋"/>
                <w:i w:val="0"/>
                <w:iCs w:val="0"/>
                <w:color w:val="000000"/>
                <w:kern w:val="0"/>
                <w:sz w:val="24"/>
                <w:szCs w:val="24"/>
                <w:highlight w:val="none"/>
                <w:u w:val="none"/>
                <w:lang w:val="en-US" w:eastAsia="zh-CN" w:bidi="ar"/>
              </w:rPr>
              <w:t>齿轮传动部分</w:t>
            </w:r>
            <w:r>
              <w:rPr>
                <w:rFonts w:hint="eastAsia" w:ascii="仿宋" w:hAnsi="仿宋" w:eastAsia="仿宋" w:cs="仿宋"/>
                <w:sz w:val="24"/>
                <w:szCs w:val="24"/>
                <w:highlight w:val="none"/>
                <w:lang w:val="en-US" w:eastAsia="zh-CN"/>
              </w:rPr>
              <w:t>要求</w:t>
            </w:r>
          </w:p>
          <w:p w14:paraId="778C984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6.1 直齿圆柱齿轮一1个，材料：20CrMnTi，规格：齿数48，模数1.5，压力角20°，配孔径20 mm免键式胀紧套，IT6级，齿形粗糙度≤1.6μm，硬度55-60HRC。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6.2 直齿圆柱齿轮二1个，材料：20CrMnTi，规格：齿数60，模数1.5，压力角20°，配孔径20 mm免键式胀紧套，IT6级，齿形粗糙度≤1.6μm，硬度55-60HRC。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6.3 直齿圆柱齿轮三1个，材料：20CrMnTi，规格：齿数30，模数2，压力角20°，孔径14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6.4 直齿圆柱齿轮四1个，材料：20CrMnTi，规格：齿数30，模数2，压力角20°，孔径20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6.5 直齿圆柱齿轮五1个，材料：20CrMnTi，规格：齿数40，模数2，压力角20°，孔径20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6.6 直齿圆柱齿轮六1个，材料：20CrMnTi，规格：齿数50，模数2，压力角20°，孔径20 mm，IT6级，齿形粗糙度≤1.6μm，硬度55-60HRC。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6.7 直齿圆柱齿轮七1个，材料：20CrMnTi，规格：齿数60，模数2，压力角20°，配孔径20 mm免键式胀紧套，IT6级，齿形粗糙度≤1.6μm，硬度55-60HRC。</w:t>
            </w:r>
          </w:p>
          <w:p w14:paraId="1931B95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机械传动</w:t>
            </w:r>
            <w:r>
              <w:rPr>
                <w:rFonts w:hint="eastAsia" w:ascii="仿宋" w:hAnsi="仿宋" w:eastAsia="仿宋" w:cs="仿宋"/>
                <w:sz w:val="24"/>
                <w:szCs w:val="24"/>
                <w:highlight w:val="none"/>
              </w:rPr>
              <w:t>组件</w:t>
            </w:r>
            <w:r>
              <w:rPr>
                <w:rFonts w:hint="eastAsia" w:ascii="仿宋" w:hAnsi="仿宋" w:eastAsia="仿宋" w:cs="仿宋"/>
                <w:sz w:val="24"/>
                <w:szCs w:val="24"/>
                <w:highlight w:val="none"/>
                <w:lang w:val="en-US" w:eastAsia="zh-CN"/>
              </w:rPr>
              <w:t>2</w:t>
            </w:r>
            <w:r>
              <w:rPr>
                <w:rFonts w:hint="eastAsia" w:ascii="仿宋" w:hAnsi="仿宋" w:eastAsia="仿宋" w:cs="仿宋"/>
                <w:i w:val="0"/>
                <w:iCs w:val="0"/>
                <w:color w:val="000000"/>
                <w:kern w:val="0"/>
                <w:sz w:val="24"/>
                <w:szCs w:val="24"/>
                <w:highlight w:val="none"/>
                <w:u w:val="none"/>
                <w:lang w:val="en-US" w:eastAsia="zh-CN" w:bidi="ar"/>
              </w:rPr>
              <w:t>带传动部分</w:t>
            </w:r>
            <w:r>
              <w:rPr>
                <w:rFonts w:hint="eastAsia" w:ascii="仿宋" w:hAnsi="仿宋" w:eastAsia="仿宋" w:cs="仿宋"/>
                <w:sz w:val="24"/>
                <w:szCs w:val="24"/>
                <w:highlight w:val="none"/>
                <w:lang w:val="en-US" w:eastAsia="zh-CN"/>
              </w:rPr>
              <w:t>要求</w:t>
            </w:r>
          </w:p>
          <w:p w14:paraId="37A1832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7.1 级进V型带轮2个，材料：45#钢，规格：A型槽，节径55mm和90mm，孔径20 mm，精度：IT7级，表面粗糙度≤3.2μm。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7.2 V型皮带2根，材料：氯丁橡胶，规格：A38、A48各1根，精度：IT12级。</w:t>
            </w:r>
          </w:p>
          <w:p w14:paraId="660D050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机械传动</w:t>
            </w:r>
            <w:r>
              <w:rPr>
                <w:rFonts w:hint="eastAsia" w:ascii="仿宋" w:hAnsi="仿宋" w:eastAsia="仿宋" w:cs="仿宋"/>
                <w:sz w:val="24"/>
                <w:szCs w:val="24"/>
                <w:highlight w:val="none"/>
              </w:rPr>
              <w:t>组件</w:t>
            </w:r>
            <w:r>
              <w:rPr>
                <w:rFonts w:hint="eastAsia" w:ascii="仿宋" w:hAnsi="仿宋" w:eastAsia="仿宋" w:cs="仿宋"/>
                <w:sz w:val="24"/>
                <w:szCs w:val="24"/>
                <w:highlight w:val="none"/>
                <w:lang w:val="en-US" w:eastAsia="zh-CN"/>
              </w:rPr>
              <w:t>2</w:t>
            </w:r>
            <w:r>
              <w:rPr>
                <w:rFonts w:hint="eastAsia" w:ascii="仿宋" w:hAnsi="仿宋" w:eastAsia="仿宋" w:cs="仿宋"/>
                <w:i w:val="0"/>
                <w:iCs w:val="0"/>
                <w:color w:val="000000"/>
                <w:kern w:val="0"/>
                <w:sz w:val="24"/>
                <w:szCs w:val="24"/>
                <w:highlight w:val="none"/>
                <w:u w:val="none"/>
                <w:lang w:val="en-US" w:eastAsia="zh-CN" w:bidi="ar"/>
              </w:rPr>
              <w:t>齿轮传动部分</w:t>
            </w:r>
            <w:r>
              <w:rPr>
                <w:rFonts w:hint="eastAsia" w:ascii="仿宋" w:hAnsi="仿宋" w:eastAsia="仿宋" w:cs="仿宋"/>
                <w:sz w:val="24"/>
                <w:szCs w:val="24"/>
                <w:highlight w:val="none"/>
                <w:lang w:val="en-US" w:eastAsia="zh-CN"/>
              </w:rPr>
              <w:t>要求</w:t>
            </w:r>
          </w:p>
          <w:p w14:paraId="3CE2E33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8.1 直齿锥齿轮2个，材料：45#钢，规格：齿数30，模数2，孔径20 mm，精度：IT6级，齿形粗糙度≤1.6μm，硬度55-60HRC。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8.2 蜗杆1根，材料：45#钢，规格：模数2.5，压力角20°，精度:IT6级。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8.3 蜗轮1个，材料：黄铜，规格：模数2.5，齿数46，压力角为20°，精度：IT7级。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8.4 传动轴止推环10个，材料45#钢，规格：20x40x12mm，精度：IT7级。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8.5 蜗轮、蜗杆安装座2个，材料：6063铝合金，规格：170x40x35mm，精度：IT7级。</w:t>
            </w:r>
          </w:p>
          <w:p w14:paraId="4ADCC9F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w:t>
            </w:r>
            <w:r>
              <w:rPr>
                <w:rFonts w:hint="eastAsia" w:ascii="仿宋" w:hAnsi="仿宋" w:eastAsia="仿宋" w:cs="仿宋"/>
                <w:i w:val="0"/>
                <w:iCs w:val="0"/>
                <w:color w:val="000000"/>
                <w:kern w:val="0"/>
                <w:sz w:val="24"/>
                <w:szCs w:val="24"/>
                <w:highlight w:val="none"/>
                <w:u w:val="none"/>
                <w:lang w:val="en-US" w:eastAsia="zh-CN" w:bidi="ar"/>
              </w:rPr>
              <w:t>实训模型及实训套件</w:t>
            </w:r>
            <w:r>
              <w:rPr>
                <w:rFonts w:hint="eastAsia" w:ascii="仿宋" w:hAnsi="仿宋" w:eastAsia="仿宋" w:cs="仿宋"/>
                <w:sz w:val="24"/>
                <w:szCs w:val="24"/>
                <w:highlight w:val="none"/>
                <w:lang w:val="en-US" w:eastAsia="zh-CN"/>
              </w:rPr>
              <w:t>要求</w:t>
            </w:r>
          </w:p>
          <w:p w14:paraId="3048005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 xml:space="preserve">9.1泵浦模型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主要由主轴、透盖、马达侧座、叶轮侧座、机械密封座、泵浦叶轮、泵浦锥杯、水封、 油封、弹性挡圈、止动垫圈、圆螺母、深沟球轴承、角接触球轴承、O 型圈、机械式密等组成。</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（1）主轴1根，材料：45#钢，规格：Ø25x196mm，精度：IT6级，粗糙度≤3.2μm。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（2）透盖1个，材料：45#钢，规格：Ø65x17.5mm，精度：IT7级，粗糙度≤3.2μm。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（3）马达侧座1个，材料：45#钢，规格：110x30x75mm，精度：IT7级，粗糙度≤3.2μm。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（4）叶轮侧座1个，材料：45#钢，规格：110x20x75mm，精度：IT7级，粗糙度≤3.2μm。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（5）机械密封座1个，材料：45#钢，规格：Ø65x20mm，精度：IT7级，粗糙度≤3.2μm。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（6）泵浦叶轮1个，材料：45#钢，规格：Ø60x10.5mm，精度：IT7级，粗糙度≤3.2μm。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（7）泵浦锥杯1个，材料：45#钢，规格：Ø25x6mm，粗糙度≤3.2μm。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（8）VA水封2个，材料：丁腈橡胶，规格：VA-16，精度：IT7级。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（9）骨架油封1个，材料：丁腈橡胶，规格：Ø15xØ35x7mm，精度：IT7级。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（10）骨架油封1个，材料：丁腈橡胶，规格：Ø16xØ35x7mm，精度：IT7级。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（12）轴用弹性挡圈1个，材料：弹簧钢，规格：A型 Ø15mm，精度：IT7级。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（13）圆螺母用止动垫圈，材料：Q235钢，规格：Ø20mm，精度：IT7级。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（14）圆螺母1个，材料：45#钢，规格：M20x1.5，精度：IT7级。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（15）深沟球轴承1个，材料：轴承钢，规格：6202，精度：IT6级。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（16）角接触球轴承1对，材料：轴承钢，规格：7004C，精度：IT6级。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（17）O型圈1个，材料：丁腈橡胶，规格：Ø40x2.65mm，精度：IT7级。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（18）水泵用机械式密1个，材料：弹簧钢，规格：RM108-15，精度：IT7级。</w:t>
            </w:r>
          </w:p>
          <w:p w14:paraId="1E8A6C4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 xml:space="preserve">9.2简易齿轮箱模型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 xml:space="preserve">主要由主轴、透盖、侧座、简易齿轮、上盖、侧盖、隔环、垫片、轴承套筒、骨架油封、 孔用弹性挡圈、孔用弹性挡圈、轴用弹性、挡圈、圆螺母用止动垫圈、圆螺母、圆柱滚子轴承、调心滚子轴承、O 型圈等零部件组成。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（1）主轴1根，材料：45#钢，规格：Ø25x135mm，精度：IT6级，粗糙度≤3.2μm。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（2）透盖1个，材料：45#钢，规格：Ø70x14mm，精度：IT7级，粗糙度≤3.2μm。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（3）侧座2个，材料：45#钢，规格：110x30x75mm，精度：IT7级，粗糙度≤3.2μm。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（4）简易齿轮1个，材料：45#钢，规格：Ø65x25mm，精度：IT7级，粗糙度≤3.2μm。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（5）上盖1个，材料：45#钢，规格：83x40x5mm，精度：IT7级，粗糙度≤3.2μm。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（6）侧盖1个，材料：45#钢，规格：Ø70x15mm，精度：IT7级，粗糙度≤3.2μm。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（7）隔环1个，材料：45#钢，规格：Ø25x6mm，精度：IT7级，粗糙度≤3.2μm。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（8）垫片1个，材料：45#钢，规格：Ø35x3mm，精度：IT7级，粗糙度≤3.2μm。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（9）轴承套筒1个，材料：45#钢，规格：Ø25x30mm，精度：IT7级，粗糙度≤3.2μm。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（10）骨架油封1个，材料：丁腈橡胶，规格：Ø20xØ35x7mm，精度：IT7级。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（12）孔用弹性挡圈1个，材料：弹簧钢，规格：A型 Ø52mm，精度：IT7级。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（13）轴用弹性挡圈1个，材料：弹簧钢，规格：A型 Ø20mm，精度：IT7级。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（14）圆螺母用止动垫圈1个，材料：Q235钢，规格：Ø25mm，精度：IT7级。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（15）圆螺母1个，材料：45#钢，规格：M25×1.5，精度：IT7级。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（16）圆柱滚子轴承1个，材料：轴承钢，规格：304E，精度：IT6级。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（17）调心滚子轴承1个，材料：轴承钢，规格：22205CC/W3，精度：IT6级。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（18）O型圈2个，材料：丁腈橡胶，规格：Ø51.5x2.65mm，精度：IT7级。</w:t>
            </w:r>
          </w:p>
          <w:p w14:paraId="53B3B12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 xml:space="preserve">9.3机床主轴模型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主要由模拟主轴、轴承（角接触轴承和深沟球轴承两种）及轴承座、轴承座垫块（带调整 装置）、底板、卡盘等组成。</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（1）底板1块，材料：6063铝合金，规格：180x210x12mm，精度，IT7级，粗糙度≤3.2μm。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（2）主轴1根，材料：45#钢，规格：Ø32x202mm，精度：IT6级，粗糙度≤3.2μm。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（3）固定端轴承座1个，材料：6063铝合金，规格：25mm，精度：IT6级。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（4）活动端轴承座1个，材料：6063铝合金，规格：25mm，精度：IT6级。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（5）固定端轴承座垫块1个，材料：6063铝合金，规格：160x42x75mm，精度：IT7级。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（6）活动端轴承座垫块1个，材料：6063铝合金，规格：160x30x75mm，精度：IT7级。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（7）轴承座调整块4个，材料：6063铝合金，规格：30x15x35mm，精度：IT7级。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（8）三爪卡盘固定法兰1个，材料：6063铝合金，规格：Ø80x45mm，精度：IT7级。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（9）三爪卡盘1个，材料：6063铝合金，规格：手动联动80mm，精度：IT7级。</w:t>
            </w:r>
          </w:p>
          <w:p w14:paraId="3107ADC0">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10、</w:t>
            </w:r>
            <w:r>
              <w:rPr>
                <w:rFonts w:hint="eastAsia" w:ascii="仿宋" w:hAnsi="仿宋" w:eastAsia="仿宋" w:cs="仿宋"/>
                <w:sz w:val="24"/>
                <w:szCs w:val="24"/>
                <w:highlight w:val="none"/>
                <w:lang w:val="en-US" w:eastAsia="zh-CN"/>
              </w:rPr>
              <w:t>配件（工具）要求</w:t>
            </w:r>
          </w:p>
          <w:p w14:paraId="2D908BBB">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（1）橡胶锤，16oz，1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（2）铁锤，规格：1 磅，全长 L≥320mm；1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（3）紫铜棒，Ø14-Ø18/250mm，1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（4）内六角扳手，9 件套，加长球头，1 套；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（5）扭力扳手，扭力范围不小于 5-25N·m，驱动头 3/8"，1 套；参考品牌：得力、绿林、世达、史丹利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（6）力扳手延长杆，150mm，1 把 ；参考品牌：得力、绿林、世达、史丹利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（7）内六角套筒，7 件套，1 套；参考品牌：得力、绿林、世达、史丹利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（8）截链器/紧链器，适用 08B 单、双排链，各1 把；参考品牌：得力、绿林、世达、史丹利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（9）板锉，6 寸，1 把；参考品牌：得力、绿林、世达、史丹利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（10）螺丝刀，一字、十字各 1 把，1 套；参考品牌：得力、绿林、世达、史丹利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（11）二爪拉马，6 寸，1 只；参考品牌：得力、绿林、世达、史丹利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（12）油枪（含机油），250ml，1 把；参考品牌：得力、绿林、世达、史丹利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（13）不锈钢调整垫片 A 型，6 种厚度规格（0.02mm、0.03mm、0.05mm、0.1mm、0.15mm、0.2mm 、0.3mm、0.5mm、1.0mm）， 每种各 10 片；参考品牌：仪迈、世达、得力、史丹利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（14）尖嘴钳，6 寸，1 把；参考品牌：得力、绿林、世达、史丹利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（15）活动扳手，1 把，10 寸；参考品牌：得力、绿林、世达、史丹利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（16）活动扳手，1 把，12 寸；参考品牌：得力、绿林、世达、史丹利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（17）平行度测量套装，1 套；参考品牌：仪迈、上银、世达、得力</w:t>
            </w:r>
          </w:p>
          <w:p w14:paraId="460DC581">
            <w:pPr>
              <w:keepNext w:val="0"/>
              <w:keepLines w:val="0"/>
              <w:pageBreakBefore w:val="0"/>
              <w:widowControl w:val="0"/>
              <w:numPr>
                <w:ilvl w:val="0"/>
                <w:numId w:val="0"/>
              </w:numPr>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11、配件（量具）要求</w:t>
            </w:r>
          </w:p>
          <w:p w14:paraId="7A720B68">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（1）钢直尺，0-500mm，1 把；参考品牌：上工、哈量、英示、成量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（2）卷尺，3 米，1 把；参考品牌：上工、哈量、英示、成量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（3）组合角尺，300mm，1 把；参考品牌：上工、哈量、英示、成量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（4）刀口角尺，50x80，1 把；参考品牌：上工、哈量、英示、成量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（5）角尺，60x60x300，1 把；参考品牌：得力、世达、英示、绿林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（6）数显游标卡尺，0-150mm，1 把；参考品牌：上工、哈量、英示、成量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（7）游标卡尺，0-500mm，1 套；参考品牌：上工、哈量、英示、成量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（8）百分表，0-10mm，1 套； 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（9）杠杠百分表，0-0.8mm，分度值 0.01mm，1 套；参考品牌：上工、哈量、英示、成量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（10）万向磁力表座， 夹持孔径φ8mm，1 套；参考品牌：上工、哈量、英示、成量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（11）袖珍磁力表座，夹持孔径φ8mm 带燕尾，1 套；参考品牌：上工、哈量、英示、成量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（12）平测头（钢），D=20mm，1 个；参考品牌：上工、哈量、英示、成量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（13）塞尺，0.02-1.00mm，1 套；参考品牌：得力、哈量、英示、成量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（14）笔式皮带张力计，≥130N，1 把 ；参考品牌：得力、哈量、英示、成量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（15）测速仪，支持 3 种 测速模式，1 套；参考品牌：优利德、胜利、特安斯、世达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（16）红外线测温仪，1 套；参考品牌：优利德、胜利、特安斯、世达</w:t>
            </w:r>
          </w:p>
          <w:p w14:paraId="604EC13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二</w:t>
            </w:r>
            <w:r>
              <w:rPr>
                <w:rFonts w:hint="eastAsia" w:ascii="仿宋" w:hAnsi="仿宋" w:eastAsia="仿宋" w:cs="仿宋"/>
                <w:sz w:val="24"/>
                <w:szCs w:val="24"/>
                <w:highlight w:val="none"/>
              </w:rPr>
              <w:t>、智慧实验室综合管理系统</w:t>
            </w:r>
          </w:p>
          <w:p w14:paraId="590BCA2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智慧实验室综合管理系统集学、仿、考、评、存、修六位一体。可实现课前视频自主学习、理论在线仿真、知识掌握考核、学习质量评价、实验报告云端存储、实训设备报修等功能。系统设置多种身份登录权限，可满足学员、教师、管理员等不同角色的使用要求。整个系统采用跨平台的B/S框架，各个模块采用模块化方式进行开发和设计，各个子模块支持分布式部署和云部署。并且系统能够同时满足手机、微信小程序、平板和计算机等多终端设备的访问。</w:t>
            </w:r>
          </w:p>
          <w:p w14:paraId="65F663B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（1）云图书馆模块</w:t>
            </w:r>
          </w:p>
          <w:p w14:paraId="4F792B1C">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提供一个云端图书，可能根据实训设备找到相应配套资料，至少包含文档、图片、音频、动画等文件，以良好的3D仿真形式翻阅使用。可进行文本搜索、文本黏贴复制、放大、缩小、设置下载、打印、分享等功能。</w:t>
            </w:r>
          </w:p>
          <w:p w14:paraId="4EC4657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（2）自主学习模块</w:t>
            </w:r>
          </w:p>
          <w:p w14:paraId="23D3079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主要包含工业机器人资源、可编程控制器资源、工业驱动资源、智能电梯资源、气动技术资源、液压技术资源、触摸屏资源、电气控制技术资源、工业机械资源、钳工资源等。</w:t>
            </w:r>
          </w:p>
          <w:p w14:paraId="06017E1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（3）在线仿真模块</w:t>
            </w:r>
          </w:p>
          <w:p w14:paraId="76C4F8F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平台设有在线仿真实验模块，提供标准实验类别不少于18种，具体实验仿真项目不少于105个，利用元件库可进行设计性实验，支持Dropdox导入实验，可作为链接、文本、图片等多种形式导出以及打印。</w:t>
            </w:r>
          </w:p>
          <w:p w14:paraId="239BCA9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（4）学习考评模块</w:t>
            </w:r>
          </w:p>
          <w:p w14:paraId="1B5D45C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p>
          <w:p w14:paraId="759E60C4">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（5）实验数据云管理模块</w:t>
            </w:r>
          </w:p>
          <w:p w14:paraId="36A34809">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通过人工智能算法进行图像的处理，可实现了多设备跨平台应用，在线查看阅览学生上传报告信息内容，批注等信息，学生信息根据班级、学号、年级等信息排列显示，也可单独通过搜索关键字阅览，可增加优秀报告标记或分享他人等功能。</w:t>
            </w:r>
          </w:p>
          <w:p w14:paraId="556F9A1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（6）设备报修管理模块</w:t>
            </w:r>
          </w:p>
          <w:p w14:paraId="710815DF">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输入出厂编码可查看设备信息，包括产品型号、名称、出厂日期、过保日期、出厂报告、设备装箱单、实验指导书等。能够通过系统发送文字、图片、视频等多种形式进行保修，可实时参看报修进度，维修完成后可进行服务评价。</w:t>
            </w:r>
          </w:p>
          <w:p w14:paraId="2778C626">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rPr>
            </w:pPr>
            <w:r>
              <w:rPr>
                <w:rFonts w:hint="eastAsia" w:ascii="仿宋" w:hAnsi="仿宋" w:eastAsia="仿宋" w:cs="仿宋"/>
                <w:b/>
                <w:bCs/>
                <w:i w:val="0"/>
                <w:iCs w:val="0"/>
                <w:color w:val="auto"/>
                <w:sz w:val="24"/>
                <w:szCs w:val="24"/>
                <w:highlight w:val="none"/>
                <w:u w:val="none"/>
                <w:lang w:val="en-US" w:eastAsia="zh-CN" w:bidi="ar"/>
              </w:rPr>
              <w:t>（7）中标人在中标公告发布后3个工作日内提供样机演示，不提供或演示不通过采购人可取消其中标资格。</w:t>
            </w:r>
          </w:p>
        </w:tc>
      </w:tr>
      <w:tr w14:paraId="2159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 w:type="pct"/>
            <w:tcBorders>
              <w:top w:val="single" w:color="auto" w:sz="4" w:space="0"/>
              <w:left w:val="single" w:color="auto" w:sz="4" w:space="0"/>
              <w:bottom w:val="single" w:color="auto" w:sz="4" w:space="0"/>
              <w:right w:val="single" w:color="auto" w:sz="4" w:space="0"/>
            </w:tcBorders>
            <w:noWrap w:val="0"/>
            <w:vAlign w:val="center"/>
          </w:tcPr>
          <w:p w14:paraId="01097C61">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w:t>
            </w:r>
          </w:p>
        </w:tc>
        <w:tc>
          <w:tcPr>
            <w:tcW w:w="422" w:type="pct"/>
            <w:tcBorders>
              <w:top w:val="single" w:color="auto" w:sz="4" w:space="0"/>
              <w:left w:val="single" w:color="auto" w:sz="4" w:space="0"/>
              <w:bottom w:val="single" w:color="auto" w:sz="4" w:space="0"/>
              <w:right w:val="single" w:color="auto" w:sz="4" w:space="0"/>
            </w:tcBorders>
            <w:noWrap w:val="0"/>
            <w:vAlign w:val="center"/>
          </w:tcPr>
          <w:p w14:paraId="493209D4">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实训室配套基础设施</w:t>
            </w:r>
          </w:p>
        </w:tc>
        <w:tc>
          <w:tcPr>
            <w:tcW w:w="4241" w:type="pct"/>
            <w:tcBorders>
              <w:top w:val="single" w:color="auto" w:sz="4" w:space="0"/>
              <w:left w:val="single" w:color="auto" w:sz="4" w:space="0"/>
              <w:bottom w:val="single" w:color="auto" w:sz="4" w:space="0"/>
              <w:right w:val="single" w:color="auto" w:sz="4" w:space="0"/>
            </w:tcBorders>
            <w:noWrap w:val="0"/>
            <w:vAlign w:val="center"/>
          </w:tcPr>
          <w:p w14:paraId="6EFF42C7">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须包含：</w:t>
            </w:r>
          </w:p>
          <w:p w14:paraId="5E0FF2C0">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短型液压千斤顶 RSC2050  5套；</w:t>
            </w:r>
          </w:p>
          <w:p w14:paraId="7ABF9D61">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手动液压泵 CP-180 5套；</w:t>
            </w:r>
          </w:p>
          <w:p w14:paraId="7A45C195">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齿轮箱 K37/83 69/M1/A 5套；</w:t>
            </w:r>
          </w:p>
          <w:p w14:paraId="43ECCACB">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雅马哈发动机 MX200 5套；</w:t>
            </w:r>
          </w:p>
          <w:p w14:paraId="19A9226E">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C207设备的搬运（设备较重从二楼搬到一楼需要用到吊车）、装修布线 1项（设备调试线三相四线6个平方的线及空调线）；</w:t>
            </w:r>
          </w:p>
          <w:p w14:paraId="33D719D0">
            <w:pPr>
              <w:keepNext w:val="0"/>
              <w:keepLines w:val="0"/>
              <w:pageBreakBefore w:val="0"/>
              <w:widowControl w:val="0"/>
              <w:numPr>
                <w:ilvl w:val="0"/>
                <w:numId w:val="1"/>
              </w:numPr>
              <w:kinsoku/>
              <w:wordWrap/>
              <w:overflowPunct/>
              <w:topLinePunct w:val="0"/>
              <w:bidi w:val="0"/>
              <w:adjustRightInd w:val="0"/>
              <w:spacing w:line="260" w:lineRule="exact"/>
              <w:textAlignment w:val="auto"/>
              <w:outlineLvl w:val="9"/>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C207文化布置 1项。</w:t>
            </w:r>
          </w:p>
        </w:tc>
      </w:tr>
    </w:tbl>
    <w:p w14:paraId="6189F796">
      <w:pPr>
        <w:keepNext w:val="0"/>
        <w:keepLines w:val="0"/>
        <w:pageBreakBefore w:val="0"/>
        <w:widowControl w:val="0"/>
        <w:numPr>
          <w:ilvl w:val="0"/>
          <w:numId w:val="0"/>
        </w:numPr>
        <w:kinsoku/>
        <w:wordWrap/>
        <w:overflowPunct/>
        <w:topLinePunct w:val="0"/>
        <w:autoSpaceDE/>
        <w:autoSpaceDN/>
        <w:bidi w:val="0"/>
        <w:spacing w:line="460" w:lineRule="exact"/>
        <w:ind w:firstLine="562" w:firstLineChars="200"/>
        <w:textAlignment w:val="auto"/>
        <w:rPr>
          <w:rFonts w:hint="eastAsia" w:ascii="Times New Roman" w:hAnsi="Times New Roman" w:eastAsia="方正仿宋_GBK" w:cs="Times New Roman"/>
          <w:b/>
          <w:bCs/>
          <w:color w:val="auto"/>
          <w:kern w:val="0"/>
          <w:sz w:val="28"/>
          <w:szCs w:val="28"/>
          <w:highlight w:val="none"/>
        </w:rPr>
      </w:pPr>
      <w:r>
        <w:rPr>
          <w:rFonts w:hint="eastAsia" w:eastAsia="方正仿宋_GBK" w:cs="Times New Roman"/>
          <w:b/>
          <w:bCs/>
          <w:color w:val="auto"/>
          <w:kern w:val="0"/>
          <w:sz w:val="28"/>
          <w:szCs w:val="28"/>
          <w:highlight w:val="none"/>
          <w:lang w:val="en-US" w:eastAsia="zh-CN"/>
        </w:rPr>
        <w:t>注：1.</w:t>
      </w:r>
      <w:r>
        <w:rPr>
          <w:rFonts w:hint="eastAsia" w:ascii="Times New Roman" w:hAnsi="Times New Roman" w:eastAsia="方正仿宋_GBK" w:cs="Times New Roman"/>
          <w:b/>
          <w:bCs/>
          <w:color w:val="auto"/>
          <w:kern w:val="0"/>
          <w:sz w:val="28"/>
          <w:szCs w:val="28"/>
          <w:highlight w:val="none"/>
        </w:rPr>
        <w:t>以上技术参数均不允许负偏离；加★项目须在响应文件中须提供佐证材料，佐证材料上传至技术正负偏离表中，未提供佐证材料视为负偏离。</w:t>
      </w:r>
    </w:p>
    <w:p w14:paraId="3717DFC4">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rPr>
      </w:pPr>
      <w:r>
        <w:rPr>
          <w:rFonts w:hint="eastAsia" w:ascii="仿宋" w:hAnsi="仿宋" w:eastAsia="仿宋" w:cs="Times New Roman"/>
          <w:b w:val="0"/>
          <w:bCs w:val="0"/>
          <w:sz w:val="28"/>
          <w:szCs w:val="28"/>
          <w:highlight w:val="none"/>
          <w:lang w:val="en-US" w:eastAsia="zh-CN"/>
        </w:rPr>
        <w:t>2.项目中有列明的品牌为优先选用的品牌，响应供应商也可选用其他品牌替代，响应供应商选择其它品牌响应，则其品牌知名度、信誉度、质量、性能、技术指标等综合水平要相当于或优于参考品牌。相当于或优于参考品牌的证明材料由响应供应商提供，证明材料至少包含所投产品相当于或优于参考品牌的检测报告；所投产品</w:t>
      </w:r>
      <w:r>
        <w:rPr>
          <w:rFonts w:hint="eastAsia" w:ascii="仿宋" w:hAnsi="仿宋" w:eastAsia="仿宋" w:cs="Times New Roman"/>
          <w:b w:val="0"/>
          <w:bCs w:val="0"/>
          <w:color w:val="auto"/>
          <w:sz w:val="28"/>
          <w:szCs w:val="28"/>
          <w:highlight w:val="none"/>
          <w:lang w:val="en-US" w:eastAsia="zh-CN"/>
        </w:rPr>
        <w:t>公开发布的印刷资料、技术白皮书、技术规格书、产品使用说明书</w:t>
      </w:r>
      <w:r>
        <w:rPr>
          <w:rFonts w:hint="eastAsia" w:ascii="仿宋" w:hAnsi="仿宋" w:eastAsia="仿宋" w:cs="Times New Roman"/>
          <w:b w:val="0"/>
          <w:bCs w:val="0"/>
          <w:sz w:val="28"/>
          <w:szCs w:val="28"/>
          <w:highlight w:val="none"/>
          <w:lang w:val="en-US" w:eastAsia="zh-CN"/>
        </w:rPr>
        <w:t>等，由评委确认该品牌是否符合本项目相关要求，符合的予以通过，不符合的作无效响应处理。</w:t>
      </w:r>
    </w:p>
    <w:p w14:paraId="247F8D57">
      <w:pPr>
        <w:keepNext w:val="0"/>
        <w:keepLines w:val="0"/>
        <w:pageBreakBefore w:val="0"/>
        <w:widowControl w:val="0"/>
        <w:numPr>
          <w:ilvl w:val="0"/>
          <w:numId w:val="0"/>
        </w:numPr>
        <w:kinsoku/>
        <w:wordWrap/>
        <w:overflowPunct/>
        <w:topLinePunct w:val="0"/>
        <w:autoSpaceDE/>
        <w:autoSpaceDN/>
        <w:bidi w:val="0"/>
        <w:spacing w:line="460" w:lineRule="exact"/>
        <w:ind w:firstLine="560" w:firstLineChars="200"/>
        <w:textAlignment w:val="auto"/>
        <w:rPr>
          <w:rFonts w:hint="eastAsia" w:ascii="仿宋" w:hAnsi="仿宋" w:eastAsia="仿宋"/>
          <w:sz w:val="28"/>
          <w:szCs w:val="28"/>
          <w:highlight w:val="none"/>
        </w:rPr>
      </w:pPr>
      <w:r>
        <w:rPr>
          <w:rFonts w:hint="eastAsia" w:ascii="黑体" w:hAnsi="黑体" w:eastAsia="黑体" w:cs="Times New Roman"/>
          <w:color w:val="auto"/>
          <w:sz w:val="28"/>
          <w:szCs w:val="28"/>
          <w:highlight w:val="none"/>
          <w:lang w:val="en-US" w:eastAsia="zh-CN"/>
        </w:rPr>
        <w:t>四、质</w:t>
      </w:r>
      <w:r>
        <w:rPr>
          <w:rFonts w:hint="eastAsia" w:ascii="黑体" w:hAnsi="黑体" w:eastAsia="黑体"/>
          <w:color w:val="auto"/>
          <w:sz w:val="28"/>
          <w:szCs w:val="28"/>
          <w:highlight w:val="none"/>
          <w:lang w:val="en-US" w:eastAsia="zh-CN"/>
        </w:rPr>
        <w:t>量</w:t>
      </w:r>
      <w:r>
        <w:rPr>
          <w:rFonts w:hint="eastAsia" w:ascii="黑体" w:hAnsi="黑体" w:eastAsia="黑体"/>
          <w:color w:val="auto"/>
          <w:sz w:val="28"/>
          <w:szCs w:val="28"/>
          <w:highlight w:val="none"/>
        </w:rPr>
        <w:t>标准</w:t>
      </w:r>
    </w:p>
    <w:p w14:paraId="21877465">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供应商须明确所投货物的生产厂家、品牌、型号、规格、外形和尺寸等。</w:t>
      </w:r>
    </w:p>
    <w:p w14:paraId="7150ECD2">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p>
    <w:p w14:paraId="3D0BC63F">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 xml:space="preserve">产品的包装，国家或行业主管部门有规定的，按规定执行。 </w:t>
      </w:r>
    </w:p>
    <w:p w14:paraId="681F076D">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供应商应保证提供的产品不得侵犯第三方专利权、商标权和工业设计权、版权等。否则，成交供应商应负全部责任，并承担由此引起的一切后果。</w:t>
      </w:r>
    </w:p>
    <w:p w14:paraId="1697C125">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供应商应保证其货物在正确安装、正常使用和保养条件下，在其使用寿命期内应具有满意的性能。</w:t>
      </w:r>
    </w:p>
    <w:p w14:paraId="43B5E11D">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供应商应采取必要的安全措施保证货物的运输及安装的安全，并承担货物的运输及安装过程中产生的风险。</w:t>
      </w:r>
    </w:p>
    <w:p w14:paraId="339BBC12">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供应商必须保证所提供的产品符合国家相应质量要求，供货时必须随产品提供出厂材料，包括但不限于检验报告（复印件）、产品合格证（原件）以及设备的测试、运行、保养手册。</w:t>
      </w:r>
    </w:p>
    <w:p w14:paraId="47DBDCAA">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供应商所供货物最终验收后，成交供应商应对由于设计、工艺或材料的缺陷而发生的任何不足或故障负责，并承担由此引起的一切后果。</w:t>
      </w:r>
    </w:p>
    <w:p w14:paraId="1A87E3AA">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成交产品的技术标准按国家标准执行，无国家标准的，按行业标准执行，无国家和行业标准的，按企业标准执行；但在采购文件中有特别要求的，按采购文件中规定的要求执行，并且符合相关法律、法规规定的要求。</w:t>
      </w:r>
    </w:p>
    <w:p w14:paraId="60A0B2C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10.</w:t>
      </w:r>
      <w:r>
        <w:rPr>
          <w:rFonts w:hint="eastAsia" w:ascii="仿宋" w:hAnsi="仿宋" w:eastAsia="仿宋" w:cs="仿宋"/>
          <w:sz w:val="28"/>
          <w:szCs w:val="28"/>
          <w:highlight w:val="none"/>
        </w:rPr>
        <w:t>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03D65A2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黑体" w:hAnsi="黑体" w:eastAsia="黑体" w:cs="Times New Roman"/>
          <w:sz w:val="28"/>
          <w:szCs w:val="28"/>
          <w:highlight w:val="none"/>
          <w:lang w:val="zh-CN"/>
        </w:rPr>
      </w:pPr>
      <w:r>
        <w:rPr>
          <w:rFonts w:hint="eastAsia" w:ascii="黑体" w:hAnsi="黑体" w:eastAsia="黑体" w:cs="Times New Roman"/>
          <w:sz w:val="28"/>
          <w:szCs w:val="28"/>
          <w:highlight w:val="none"/>
          <w:lang w:val="zh-CN"/>
        </w:rPr>
        <w:t>五、</w:t>
      </w:r>
      <w:r>
        <w:rPr>
          <w:rFonts w:hint="eastAsia" w:ascii="黑体" w:hAnsi="黑体" w:eastAsia="黑体" w:cs="Times New Roman"/>
          <w:sz w:val="28"/>
          <w:szCs w:val="28"/>
          <w:highlight w:val="none"/>
          <w:lang w:val="en-US" w:eastAsia="zh-CN"/>
        </w:rPr>
        <w:t>服务</w:t>
      </w:r>
      <w:r>
        <w:rPr>
          <w:rFonts w:hint="eastAsia" w:ascii="黑体" w:hAnsi="黑体" w:eastAsia="黑体" w:cs="Times New Roman"/>
          <w:sz w:val="28"/>
          <w:szCs w:val="28"/>
          <w:highlight w:val="none"/>
          <w:lang w:val="zh-CN"/>
        </w:rPr>
        <w:t>期限和地点</w:t>
      </w:r>
    </w:p>
    <w:p w14:paraId="359CED0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eastAsia="zh-CN" w:bidi="ar-SA"/>
        </w:rPr>
        <w:t xml:space="preserve">服务期限：自合同签订之日起40日历天内，完成供货、安装、培训、检验合格、交付使用。 </w:t>
      </w:r>
    </w:p>
    <w:p w14:paraId="020AA1DD">
      <w:pPr>
        <w:pStyle w:val="16"/>
        <w:keepNext w:val="0"/>
        <w:keepLines w:val="0"/>
        <w:pageBreakBefore w:val="0"/>
        <w:widowControl w:val="0"/>
        <w:kinsoku/>
        <w:wordWrap/>
        <w:overflowPunct/>
        <w:topLinePunct w:val="0"/>
        <w:autoSpaceDE/>
        <w:autoSpaceDN/>
        <w:bidi w:val="0"/>
        <w:adjustRightInd/>
        <w:spacing w:line="460" w:lineRule="exact"/>
        <w:ind w:firstLine="560" w:firstLineChars="200"/>
        <w:textAlignment w:val="auto"/>
        <w:rPr>
          <w:rFonts w:hint="eastAsia" w:eastAsia="仿宋"/>
          <w:highlight w:val="none"/>
          <w:lang w:eastAsia="zh-CN"/>
        </w:rPr>
      </w:pPr>
      <w:r>
        <w:rPr>
          <w:rFonts w:hint="eastAsia" w:ascii="仿宋" w:hAnsi="仿宋" w:eastAsia="仿宋"/>
          <w:sz w:val="28"/>
          <w:szCs w:val="28"/>
          <w:highlight w:val="none"/>
        </w:rPr>
        <w:t>地点：根据采购人要求</w:t>
      </w:r>
      <w:r>
        <w:rPr>
          <w:rFonts w:hint="eastAsia" w:ascii="仿宋" w:hAnsi="仿宋" w:eastAsia="仿宋"/>
          <w:sz w:val="28"/>
          <w:szCs w:val="28"/>
          <w:highlight w:val="none"/>
          <w:lang w:eastAsia="zh-CN"/>
        </w:rPr>
        <w:t>。</w:t>
      </w:r>
    </w:p>
    <w:p w14:paraId="23A0FA92">
      <w:pPr>
        <w:keepNext w:val="0"/>
        <w:keepLines w:val="0"/>
        <w:pageBreakBefore w:val="0"/>
        <w:widowControl w:val="0"/>
        <w:kinsoku/>
        <w:wordWrap/>
        <w:overflowPunct/>
        <w:topLinePunct w:val="0"/>
        <w:autoSpaceDE/>
        <w:autoSpaceDN/>
        <w:bidi w:val="0"/>
        <w:adjustRightInd/>
        <w:spacing w:line="460" w:lineRule="exact"/>
        <w:ind w:firstLine="560" w:firstLineChars="200"/>
        <w:textAlignment w:val="auto"/>
        <w:rPr>
          <w:rFonts w:hint="default" w:ascii="黑体" w:hAnsi="黑体" w:eastAsia="黑体"/>
          <w:sz w:val="28"/>
          <w:szCs w:val="28"/>
          <w:highlight w:val="none"/>
          <w:lang w:val="en-US" w:eastAsia="zh-CN"/>
        </w:rPr>
      </w:pPr>
      <w:r>
        <w:rPr>
          <w:rFonts w:hint="eastAsia" w:ascii="黑体" w:hAnsi="黑体" w:eastAsia="黑体"/>
          <w:sz w:val="28"/>
          <w:szCs w:val="28"/>
          <w:highlight w:val="none"/>
        </w:rPr>
        <w:t>六、</w:t>
      </w:r>
      <w:r>
        <w:rPr>
          <w:rFonts w:hint="eastAsia" w:ascii="黑体" w:hAnsi="黑体" w:eastAsia="黑体"/>
          <w:sz w:val="28"/>
          <w:szCs w:val="28"/>
          <w:highlight w:val="none"/>
          <w:lang w:val="en-US" w:eastAsia="zh-CN"/>
        </w:rPr>
        <w:t>验收方案</w:t>
      </w:r>
    </w:p>
    <w:p w14:paraId="7404A022">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1.</w:t>
      </w:r>
      <w:r>
        <w:rPr>
          <w:rFonts w:hint="eastAsia" w:ascii="仿宋" w:hAnsi="仿宋" w:eastAsia="仿宋" w:cs="Times New Roman"/>
          <w:bCs/>
          <w:sz w:val="28"/>
          <w:szCs w:val="28"/>
          <w:highlight w:val="none"/>
        </w:rPr>
        <w:t>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p>
    <w:p w14:paraId="38E0690A">
      <w:pPr>
        <w:keepNext w:val="0"/>
        <w:keepLines w:val="0"/>
        <w:pageBreakBefore w:val="0"/>
        <w:widowControl w:val="0"/>
        <w:numPr>
          <w:ilvl w:val="0"/>
          <w:numId w:val="0"/>
        </w:numPr>
        <w:kinsoku/>
        <w:wordWrap/>
        <w:overflowPunct/>
        <w:topLinePunct w:val="0"/>
        <w:autoSpaceDE/>
        <w:autoSpaceDN/>
        <w:bidi w:val="0"/>
        <w:spacing w:line="460" w:lineRule="exact"/>
        <w:ind w:firstLine="560" w:firstLineChars="200"/>
        <w:textAlignment w:val="auto"/>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2.到货验收时，</w:t>
      </w:r>
      <w:r>
        <w:rPr>
          <w:rFonts w:hint="eastAsia" w:ascii="仿宋" w:hAnsi="仿宋" w:eastAsia="仿宋" w:cs="Times New Roman"/>
          <w:bCs/>
          <w:sz w:val="28"/>
          <w:szCs w:val="28"/>
          <w:highlight w:val="none"/>
        </w:rPr>
        <w:t>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p>
    <w:p w14:paraId="769F6C3C">
      <w:pPr>
        <w:keepNext w:val="0"/>
        <w:keepLines w:val="0"/>
        <w:pageBreakBefore w:val="0"/>
        <w:widowControl w:val="0"/>
        <w:kinsoku/>
        <w:wordWrap/>
        <w:overflowPunct/>
        <w:topLinePunct w:val="0"/>
        <w:autoSpaceDE/>
        <w:autoSpaceDN/>
        <w:bidi w:val="0"/>
        <w:spacing w:line="460" w:lineRule="exact"/>
        <w:ind w:firstLine="560"/>
        <w:outlineLvl w:val="1"/>
        <w:rPr>
          <w:rFonts w:ascii="黑体" w:hAnsi="黑体" w:eastAsia="黑体" w:cs="Times New Roman"/>
          <w:sz w:val="28"/>
          <w:szCs w:val="28"/>
          <w:highlight w:val="none"/>
        </w:rPr>
      </w:pPr>
      <w:r>
        <w:rPr>
          <w:rFonts w:hint="eastAsia" w:ascii="黑体" w:hAnsi="黑体" w:eastAsia="黑体" w:cs="Times New Roman"/>
          <w:sz w:val="28"/>
          <w:szCs w:val="28"/>
          <w:highlight w:val="none"/>
        </w:rPr>
        <w:t>七、质量保证期限</w:t>
      </w:r>
    </w:p>
    <w:p w14:paraId="3B9460FF">
      <w:pPr>
        <w:keepNext w:val="0"/>
        <w:keepLines w:val="0"/>
        <w:pageBreakBefore w:val="0"/>
        <w:widowControl w:val="0"/>
        <w:kinsoku/>
        <w:wordWrap/>
        <w:overflowPunct/>
        <w:topLinePunct w:val="0"/>
        <w:autoSpaceDE/>
        <w:autoSpaceDN/>
        <w:bidi w:val="0"/>
        <w:spacing w:line="460" w:lineRule="exact"/>
        <w:ind w:firstLine="560"/>
        <w:outlineLvl w:val="0"/>
        <w:rPr>
          <w:rFonts w:hint="eastAsia" w:ascii="黑体" w:hAnsi="黑体" w:eastAsia="仿宋" w:cs="Times New Roman"/>
          <w:sz w:val="28"/>
          <w:szCs w:val="28"/>
          <w:highlight w:val="none"/>
          <w:lang w:eastAsia="zh-CN"/>
        </w:rPr>
      </w:pPr>
      <w:r>
        <w:rPr>
          <w:rFonts w:hint="eastAsia" w:ascii="仿宋" w:hAnsi="仿宋" w:eastAsia="仿宋" w:cs="Times New Roman"/>
          <w:sz w:val="28"/>
          <w:szCs w:val="28"/>
          <w:highlight w:val="none"/>
        </w:rPr>
        <w:t>自交货并验收合格之日起计</w:t>
      </w:r>
      <w:r>
        <w:rPr>
          <w:rFonts w:hint="eastAsia" w:ascii="仿宋" w:hAnsi="仿宋" w:eastAsia="仿宋" w:cs="Times New Roman"/>
          <w:sz w:val="28"/>
          <w:szCs w:val="28"/>
          <w:highlight w:val="none"/>
          <w:lang w:val="en-US" w:eastAsia="zh-CN"/>
        </w:rPr>
        <w:t>叁</w:t>
      </w:r>
      <w:r>
        <w:rPr>
          <w:rFonts w:hint="eastAsia" w:ascii="仿宋" w:hAnsi="仿宋" w:eastAsia="仿宋" w:cs="Times New Roman"/>
          <w:sz w:val="28"/>
          <w:szCs w:val="28"/>
          <w:highlight w:val="none"/>
        </w:rPr>
        <w:t>年</w:t>
      </w:r>
      <w:r>
        <w:rPr>
          <w:rFonts w:hint="eastAsia" w:ascii="仿宋" w:hAnsi="仿宋" w:eastAsia="仿宋" w:cs="Times New Roman"/>
          <w:sz w:val="28"/>
          <w:szCs w:val="28"/>
          <w:highlight w:val="none"/>
          <w:lang w:eastAsia="zh-CN"/>
        </w:rPr>
        <w:t>。</w:t>
      </w:r>
    </w:p>
    <w:p w14:paraId="074A5BCA">
      <w:pPr>
        <w:keepNext w:val="0"/>
        <w:keepLines w:val="0"/>
        <w:pageBreakBefore w:val="0"/>
        <w:widowControl w:val="0"/>
        <w:kinsoku/>
        <w:wordWrap/>
        <w:overflowPunct/>
        <w:topLinePunct w:val="0"/>
        <w:autoSpaceDE/>
        <w:autoSpaceDN/>
        <w:bidi w:val="0"/>
        <w:spacing w:line="460" w:lineRule="exact"/>
        <w:ind w:firstLine="560"/>
        <w:outlineLvl w:val="1"/>
        <w:rPr>
          <w:rFonts w:ascii="黑体" w:hAnsi="黑体" w:eastAsia="黑体" w:cs="Times New Roman"/>
          <w:sz w:val="28"/>
          <w:szCs w:val="28"/>
          <w:highlight w:val="none"/>
        </w:rPr>
      </w:pPr>
      <w:r>
        <w:rPr>
          <w:rFonts w:hint="eastAsia" w:ascii="黑体" w:hAnsi="黑体" w:eastAsia="黑体" w:cs="Times New Roman"/>
          <w:sz w:val="28"/>
          <w:szCs w:val="28"/>
          <w:highlight w:val="none"/>
        </w:rPr>
        <w:t>八、售后服务</w:t>
      </w:r>
    </w:p>
    <w:p w14:paraId="33578329">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1.</w:t>
      </w:r>
      <w:r>
        <w:rPr>
          <w:rFonts w:hint="eastAsia" w:ascii="仿宋" w:hAnsi="仿宋" w:eastAsia="仿宋" w:cs="Times New Roman"/>
          <w:bCs/>
          <w:sz w:val="28"/>
          <w:szCs w:val="28"/>
          <w:highlight w:val="none"/>
        </w:rPr>
        <w:t>在免费质保期内设备发生非人为故障，成交供应商应免费上门检修维修，免费更换原厂原规格同质量的零部件。</w:t>
      </w:r>
    </w:p>
    <w:p w14:paraId="6BF4AA23">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2.</w:t>
      </w:r>
      <w:r>
        <w:rPr>
          <w:rFonts w:hint="eastAsia" w:ascii="仿宋" w:hAnsi="仿宋" w:eastAsia="仿宋" w:cs="Times New Roman"/>
          <w:bCs/>
          <w:sz w:val="28"/>
          <w:szCs w:val="28"/>
          <w:highlight w:val="none"/>
        </w:rPr>
        <w:t>在免费质保期内，成交人接需方电话后2小时内响应，4～6小时内到达现场维修，非采购人人为引起的故障一概由成交供应商负责并承担一切费用，免费保修期内因维修所延误时间顺延免费保修期。</w:t>
      </w:r>
    </w:p>
    <w:p w14:paraId="130127A7">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质保期内如果成交供应商对于产品故障未在规定时间内进行处理，采购人有权交具有资质的第三方进行维修处理，所产生的费用在余款中扣除。</w:t>
      </w:r>
    </w:p>
    <w:p w14:paraId="0AB17072">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3.</w:t>
      </w:r>
      <w:r>
        <w:rPr>
          <w:rFonts w:hint="eastAsia" w:ascii="仿宋" w:hAnsi="仿宋" w:eastAsia="仿宋" w:cs="Times New Roman"/>
          <w:bCs/>
          <w:sz w:val="28"/>
          <w:szCs w:val="28"/>
          <w:highlight w:val="none"/>
        </w:rPr>
        <w:t>负责终身维修。质保期满后若设备出现故障，成交供应商应在接到用户通知后12小时内派维修人员上门修理。保修期外供货方提供有偿服务或签订维护服务合约委托供货方进行定期维护，零配件按成交价分解结算。</w:t>
      </w:r>
    </w:p>
    <w:p w14:paraId="4D8D1F1E">
      <w:pPr>
        <w:keepNext w:val="0"/>
        <w:keepLines w:val="0"/>
        <w:pageBreakBefore w:val="0"/>
        <w:widowControl w:val="0"/>
        <w:kinsoku/>
        <w:wordWrap/>
        <w:overflowPunct/>
        <w:topLinePunct w:val="0"/>
        <w:autoSpaceDE/>
        <w:autoSpaceDN/>
        <w:bidi w:val="0"/>
        <w:spacing w:line="460" w:lineRule="exact"/>
        <w:ind w:firstLine="560"/>
        <w:rPr>
          <w:rFonts w:hint="eastAsia" w:ascii="仿宋" w:hAnsi="仿宋" w:eastAsia="仿宋" w:cs="Times New Roman"/>
          <w:sz w:val="28"/>
          <w:szCs w:val="28"/>
          <w:highlight w:val="none"/>
          <w:lang w:eastAsia="zh-CN"/>
        </w:rPr>
      </w:pPr>
      <w:r>
        <w:rPr>
          <w:rFonts w:hint="eastAsia" w:ascii="仿宋" w:hAnsi="仿宋" w:eastAsia="仿宋" w:cs="Times New Roman"/>
          <w:bCs/>
          <w:sz w:val="28"/>
          <w:szCs w:val="28"/>
          <w:highlight w:val="none"/>
          <w:lang w:val="en-US" w:eastAsia="zh-CN"/>
        </w:rPr>
        <w:t>4.</w:t>
      </w:r>
      <w:r>
        <w:rPr>
          <w:rFonts w:hint="eastAsia" w:ascii="仿宋" w:hAnsi="仿宋" w:eastAsia="仿宋" w:cs="Times New Roman"/>
          <w:bCs/>
          <w:sz w:val="28"/>
          <w:szCs w:val="28"/>
          <w:highlight w:val="none"/>
        </w:rPr>
        <w:t>技术服务信息（要求提供成交供应商设有的售后服务机构名称、地址，以及专业技术人员名单和联系电话）</w:t>
      </w:r>
      <w:r>
        <w:rPr>
          <w:rFonts w:hint="eastAsia" w:ascii="仿宋" w:hAnsi="仿宋" w:eastAsia="仿宋" w:cs="Times New Roman"/>
          <w:bCs/>
          <w:sz w:val="28"/>
          <w:szCs w:val="28"/>
          <w:highlight w:val="none"/>
          <w:lang w:eastAsia="zh-CN"/>
        </w:rPr>
        <w:t>。</w:t>
      </w:r>
    </w:p>
    <w:p w14:paraId="6CACFEA4">
      <w:pPr>
        <w:keepNext w:val="0"/>
        <w:keepLines w:val="0"/>
        <w:pageBreakBefore w:val="0"/>
        <w:widowControl w:val="0"/>
        <w:kinsoku/>
        <w:wordWrap/>
        <w:overflowPunct/>
        <w:topLinePunct w:val="0"/>
        <w:autoSpaceDE/>
        <w:autoSpaceDN/>
        <w:bidi w:val="0"/>
        <w:spacing w:line="460" w:lineRule="exact"/>
        <w:ind w:firstLine="560" w:firstLineChars="200"/>
        <w:textAlignment w:val="auto"/>
        <w:rPr>
          <w:rFonts w:hint="eastAsia" w:ascii="黑体" w:hAnsi="黑体" w:eastAsia="黑体"/>
          <w:sz w:val="28"/>
          <w:szCs w:val="28"/>
          <w:highlight w:val="none"/>
        </w:rPr>
      </w:pPr>
      <w:r>
        <w:rPr>
          <w:rFonts w:hint="eastAsia" w:ascii="黑体" w:hAnsi="黑体" w:eastAsia="黑体"/>
          <w:sz w:val="28"/>
          <w:szCs w:val="28"/>
          <w:highlight w:val="none"/>
          <w:lang w:val="en-US" w:eastAsia="zh-CN"/>
        </w:rPr>
        <w:t>九、</w:t>
      </w:r>
      <w:r>
        <w:rPr>
          <w:rFonts w:hint="eastAsia" w:ascii="黑体" w:hAnsi="黑体" w:eastAsia="黑体"/>
          <w:sz w:val="28"/>
          <w:szCs w:val="28"/>
          <w:highlight w:val="none"/>
        </w:rPr>
        <w:t>付款方式</w:t>
      </w:r>
    </w:p>
    <w:p w14:paraId="1A6A9C63">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 xml:space="preserve">成交供应商应按照与采购人签订的合同规定交货。交货后成交供应商向采购人提供下列单据，按合同规定审核后付款：1、发票； </w:t>
      </w:r>
      <w:r>
        <w:rPr>
          <w:rFonts w:hint="eastAsia" w:ascii="仿宋" w:hAnsi="仿宋" w:eastAsia="仿宋" w:cs="Times New Roman"/>
          <w:sz w:val="28"/>
          <w:szCs w:val="28"/>
          <w:highlight w:val="none"/>
          <w:lang w:val="en-US" w:eastAsia="zh-CN"/>
        </w:rPr>
        <w:t>2</w:t>
      </w:r>
      <w:r>
        <w:rPr>
          <w:rFonts w:hint="eastAsia" w:ascii="仿宋" w:hAnsi="仿宋" w:eastAsia="仿宋" w:cs="Times New Roman"/>
          <w:sz w:val="28"/>
          <w:szCs w:val="28"/>
          <w:highlight w:val="none"/>
        </w:rPr>
        <w:t>、验收合格证书等。</w:t>
      </w:r>
    </w:p>
    <w:p w14:paraId="1D793C5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cs="Times New Roman"/>
          <w:color w:val="000000"/>
          <w:sz w:val="28"/>
          <w:szCs w:val="28"/>
          <w:highlight w:val="none"/>
          <w:lang w:val="zh-CN" w:eastAsia="zh-CN"/>
        </w:rPr>
      </w:pPr>
      <w:r>
        <w:rPr>
          <w:rFonts w:hint="eastAsia" w:ascii="仿宋" w:hAnsi="仿宋" w:eastAsia="仿宋" w:cs="Times New Roman"/>
          <w:sz w:val="28"/>
          <w:szCs w:val="28"/>
          <w:highlight w:val="none"/>
          <w:lang w:val="en-US" w:eastAsia="zh-CN"/>
        </w:rPr>
        <w:t>2.设备安装调试完毕并验收合格后付至合同价款总额的90%，余款待验收合格满两年后一次性付清。</w:t>
      </w:r>
      <w:r>
        <w:rPr>
          <w:rFonts w:hint="eastAsia" w:ascii="仿宋" w:hAnsi="仿宋" w:eastAsia="仿宋" w:cs="Times New Roman"/>
          <w:color w:val="000000"/>
          <w:sz w:val="28"/>
          <w:szCs w:val="28"/>
          <w:highlight w:val="none"/>
          <w:lang w:val="zh-CN" w:eastAsia="zh-CN"/>
        </w:rPr>
        <w:t>如有质量问题，采购</w:t>
      </w:r>
      <w:r>
        <w:rPr>
          <w:rFonts w:hint="eastAsia" w:ascii="仿宋" w:hAnsi="仿宋" w:eastAsia="仿宋" w:cs="Times New Roman"/>
          <w:color w:val="000000"/>
          <w:sz w:val="28"/>
          <w:szCs w:val="28"/>
          <w:highlight w:val="none"/>
          <w:lang w:val="en-US" w:eastAsia="zh-CN"/>
        </w:rPr>
        <w:t>人</w:t>
      </w:r>
      <w:r>
        <w:rPr>
          <w:rFonts w:hint="eastAsia" w:ascii="仿宋" w:hAnsi="仿宋" w:eastAsia="仿宋" w:cs="Times New Roman"/>
          <w:color w:val="000000"/>
          <w:sz w:val="28"/>
          <w:szCs w:val="28"/>
          <w:highlight w:val="none"/>
          <w:lang w:val="zh-CN" w:eastAsia="zh-CN"/>
        </w:rPr>
        <w:t>有权顺延付款时间至</w:t>
      </w:r>
      <w:r>
        <w:rPr>
          <w:rFonts w:hint="eastAsia" w:ascii="仿宋" w:hAnsi="仿宋" w:eastAsia="仿宋" w:cs="Times New Roman"/>
          <w:color w:val="000000"/>
          <w:sz w:val="28"/>
          <w:szCs w:val="28"/>
          <w:highlight w:val="none"/>
          <w:lang w:val="en-US" w:eastAsia="zh-CN"/>
        </w:rPr>
        <w:t>成交供应商</w:t>
      </w:r>
      <w:r>
        <w:rPr>
          <w:rFonts w:hint="eastAsia" w:ascii="仿宋" w:hAnsi="仿宋" w:eastAsia="仿宋" w:cs="Times New Roman"/>
          <w:color w:val="000000"/>
          <w:sz w:val="28"/>
          <w:szCs w:val="28"/>
          <w:highlight w:val="none"/>
          <w:lang w:val="zh-CN" w:eastAsia="zh-CN"/>
        </w:rPr>
        <w:t>解决质量问题之日。每次支付前，成交人均应出具符合采购人财务规定以及开票报税要求的相应金额的正式发票。</w:t>
      </w:r>
    </w:p>
    <w:p w14:paraId="49803C76">
      <w:pPr>
        <w:keepNext w:val="0"/>
        <w:keepLines w:val="0"/>
        <w:pageBreakBefore w:val="0"/>
        <w:widowControl w:val="0"/>
        <w:kinsoku/>
        <w:wordWrap/>
        <w:overflowPunct/>
        <w:topLinePunct w:val="0"/>
        <w:autoSpaceDE/>
        <w:autoSpaceDN/>
        <w:bidi w:val="0"/>
        <w:spacing w:line="460" w:lineRule="exact"/>
        <w:ind w:firstLine="560" w:firstLineChars="200"/>
        <w:rPr>
          <w:rFonts w:ascii="仿宋" w:hAnsi="仿宋" w:eastAsia="仿宋" w:cs="Times New Roman"/>
          <w:sz w:val="28"/>
          <w:szCs w:val="28"/>
          <w:highlight w:val="none"/>
        </w:rPr>
      </w:pPr>
      <w:r>
        <w:rPr>
          <w:rFonts w:hint="eastAsia" w:ascii="黑体" w:hAnsi="黑体" w:eastAsia="黑体" w:cs="Times New Roman"/>
          <w:sz w:val="28"/>
          <w:szCs w:val="28"/>
          <w:highlight w:val="none"/>
        </w:rPr>
        <w:t>十、</w:t>
      </w:r>
      <w:r>
        <w:rPr>
          <w:rFonts w:hint="eastAsia" w:ascii="黑体" w:hAnsi="黑体" w:eastAsia="黑体" w:cs="Times New Roman"/>
          <w:color w:val="000000"/>
          <w:sz w:val="28"/>
          <w:szCs w:val="28"/>
          <w:highlight w:val="none"/>
          <w:lang w:val="en-US" w:eastAsia="zh-CN"/>
        </w:rPr>
        <w:t>报价</w:t>
      </w:r>
      <w:r>
        <w:rPr>
          <w:rFonts w:hint="eastAsia" w:ascii="黑体" w:hAnsi="黑体" w:eastAsia="黑体" w:cs="Times New Roman"/>
          <w:color w:val="000000"/>
          <w:sz w:val="28"/>
          <w:szCs w:val="28"/>
          <w:highlight w:val="none"/>
        </w:rPr>
        <w:t>要求</w:t>
      </w:r>
    </w:p>
    <w:p w14:paraId="10153756">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left="0" w:firstLine="560" w:firstLineChars="200"/>
        <w:textAlignment w:val="auto"/>
        <w:outlineLvl w:val="1"/>
        <w:rPr>
          <w:rFonts w:hint="eastAsia" w:ascii="仿宋" w:hAnsi="仿宋" w:eastAsia="仿宋" w:cs="Times New Roman"/>
          <w:color w:val="000000"/>
          <w:sz w:val="28"/>
          <w:szCs w:val="28"/>
          <w:highlight w:val="none"/>
          <w:lang w:val="zh-CN" w:eastAsia="zh-CN"/>
        </w:rPr>
      </w:pPr>
      <w:r>
        <w:rPr>
          <w:rFonts w:hint="eastAsia" w:ascii="仿宋" w:hAnsi="仿宋" w:eastAsia="仿宋" w:cs="仿宋"/>
          <w:sz w:val="28"/>
          <w:szCs w:val="28"/>
          <w:highlight w:val="none"/>
        </w:rPr>
        <w:t>1.</w:t>
      </w:r>
      <w:r>
        <w:rPr>
          <w:rFonts w:hint="eastAsia" w:ascii="仿宋" w:hAnsi="仿宋" w:eastAsia="仿宋" w:cs="Times New Roman"/>
          <w:bCs/>
          <w:sz w:val="28"/>
          <w:szCs w:val="28"/>
          <w:highlight w:val="none"/>
        </w:rPr>
        <w:t>报价要求：</w:t>
      </w:r>
      <w:r>
        <w:rPr>
          <w:rFonts w:hint="eastAsia" w:ascii="仿宋" w:hAnsi="仿宋" w:eastAsia="仿宋" w:cs="仿宋"/>
          <w:sz w:val="28"/>
          <w:szCs w:val="28"/>
          <w:highlight w:val="none"/>
        </w:rPr>
        <w:t>响应供应商</w:t>
      </w:r>
      <w:r>
        <w:rPr>
          <w:rFonts w:hint="eastAsia" w:ascii="仿宋" w:hAnsi="仿宋" w:eastAsia="仿宋" w:cs="Times New Roman"/>
          <w:color w:val="000000"/>
          <w:sz w:val="28"/>
          <w:szCs w:val="28"/>
          <w:highlight w:val="none"/>
          <w:lang w:val="zh-CN" w:eastAsia="zh-CN"/>
        </w:rPr>
        <w:t>报价应包含本项目产品（货物）的研发、制造、检验、包装、运输、装卸、保险、安装调试、人员培训、验收、税金等一切与之相关费用。</w:t>
      </w:r>
    </w:p>
    <w:p w14:paraId="1D85652C">
      <w:pPr>
        <w:keepNext w:val="0"/>
        <w:keepLines w:val="0"/>
        <w:pageBreakBefore w:val="0"/>
        <w:widowControl w:val="0"/>
        <w:kinsoku/>
        <w:wordWrap/>
        <w:overflowPunct/>
        <w:topLinePunct w:val="0"/>
        <w:autoSpaceDE/>
        <w:autoSpaceDN/>
        <w:bidi w:val="0"/>
        <w:spacing w:line="4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p>
    <w:p w14:paraId="31D757C6">
      <w:pPr>
        <w:keepNext w:val="0"/>
        <w:keepLines w:val="0"/>
        <w:pageBreakBefore w:val="0"/>
        <w:widowControl w:val="0"/>
        <w:kinsoku/>
        <w:wordWrap/>
        <w:overflowPunct/>
        <w:topLinePunct w:val="0"/>
        <w:autoSpaceDE/>
        <w:autoSpaceDN/>
        <w:bidi w:val="0"/>
        <w:spacing w:line="460" w:lineRule="exact"/>
        <w:ind w:firstLine="560" w:firstLineChars="200"/>
        <w:rPr>
          <w:rFonts w:hint="eastAsia" w:ascii="仿宋" w:hAnsi="仿宋" w:eastAsia="黑体" w:cs="Times New Roman"/>
          <w:sz w:val="28"/>
          <w:szCs w:val="28"/>
          <w:highlight w:val="none"/>
          <w:lang w:eastAsia="zh-CN"/>
        </w:rPr>
      </w:pPr>
      <w:r>
        <w:rPr>
          <w:rFonts w:hint="eastAsia" w:ascii="黑体" w:hAnsi="黑体" w:eastAsia="黑体" w:cs="Times New Roman"/>
          <w:sz w:val="28"/>
          <w:szCs w:val="28"/>
          <w:highlight w:val="none"/>
        </w:rPr>
        <w:t>十一、其他要求</w:t>
      </w:r>
      <w:r>
        <w:rPr>
          <w:rFonts w:hint="eastAsia" w:ascii="仿宋" w:hAnsi="仿宋" w:eastAsia="仿宋" w:cs="Times New Roman"/>
          <w:color w:val="FF0000"/>
          <w:sz w:val="28"/>
          <w:szCs w:val="28"/>
          <w:highlight w:val="none"/>
          <w:lang w:val="en-US" w:eastAsia="zh-CN"/>
        </w:rPr>
        <w:t xml:space="preserve"> </w:t>
      </w:r>
    </w:p>
    <w:p w14:paraId="1192202C">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p>
    <w:p w14:paraId="1A32ECFE">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响应供应商所报配置为主要配置，其他按标准配置配备；不得在原厂标准配置的基础上减少或降低技术配置。报价含交付使用前一切费用及保修期费用，不接受选择性报价。</w:t>
      </w:r>
    </w:p>
    <w:p w14:paraId="22192CEA">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p>
    <w:p w14:paraId="39896CCF">
      <w:pPr>
        <w:keepNext w:val="0"/>
        <w:keepLines w:val="0"/>
        <w:pageBreakBefore w:val="0"/>
        <w:widowControl w:val="0"/>
        <w:kinsoku/>
        <w:wordWrap/>
        <w:overflowPunct/>
        <w:topLinePunct w:val="0"/>
        <w:autoSpaceDE/>
        <w:autoSpaceDN/>
        <w:bidi w:val="0"/>
        <w:spacing w:line="460" w:lineRule="exact"/>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lang w:val="en-US" w:eastAsia="zh-CN"/>
        </w:rPr>
        <w:t>4.</w:t>
      </w:r>
      <w:r>
        <w:rPr>
          <w:rFonts w:hint="eastAsia" w:ascii="仿宋" w:hAnsi="仿宋" w:eastAsia="仿宋" w:cs="Times New Roman"/>
          <w:bCs/>
          <w:sz w:val="28"/>
          <w:szCs w:val="28"/>
          <w:highlight w:val="none"/>
        </w:rPr>
        <w:t>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p>
    <w:p w14:paraId="126EDC5D">
      <w:pPr>
        <w:pStyle w:val="37"/>
        <w:keepNext w:val="0"/>
        <w:keepLines w:val="0"/>
        <w:pageBreakBefore w:val="0"/>
        <w:widowControl w:val="0"/>
        <w:kinsoku/>
        <w:wordWrap/>
        <w:overflowPunct/>
        <w:topLinePunct w:val="0"/>
        <w:autoSpaceDE/>
        <w:autoSpaceDN/>
        <w:bidi w:val="0"/>
        <w:spacing w:before="0" w:after="0" w:line="460" w:lineRule="exact"/>
        <w:ind w:firstLine="560" w:firstLineChars="200"/>
        <w:jc w:val="left"/>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中标或成交供应商应做好提交声明函、承诺函等响应原件的核查准备，核查后发现虚假应标或违背承诺的，将上报采购监管部门，依照相关法律法规规定处理。</w:t>
      </w:r>
    </w:p>
    <w:p w14:paraId="5577C44F">
      <w:pPr>
        <w:pStyle w:val="37"/>
        <w:ind w:firstLine="0"/>
        <w:jc w:val="center"/>
        <w:rPr>
          <w:rFonts w:ascii="方正小标宋简体" w:eastAsia="方正小标宋简体"/>
          <w:bCs/>
          <w:sz w:val="32"/>
          <w:szCs w:val="32"/>
          <w:highlight w:val="none"/>
        </w:rPr>
      </w:pPr>
      <w:r>
        <w:rPr>
          <w:rFonts w:ascii="方正小标宋简体" w:eastAsia="方正小标宋简体"/>
          <w:bCs/>
          <w:sz w:val="32"/>
          <w:szCs w:val="32"/>
          <w:highlight w:val="none"/>
        </w:rPr>
        <w:br w:type="page"/>
      </w:r>
      <w:r>
        <w:rPr>
          <w:rFonts w:hint="eastAsia" w:ascii="方正小标宋简体" w:eastAsia="方正小标宋简体"/>
          <w:bCs/>
          <w:sz w:val="32"/>
          <w:szCs w:val="32"/>
          <w:highlight w:val="none"/>
        </w:rPr>
        <w:t>第4章 合同文本</w:t>
      </w:r>
    </w:p>
    <w:p w14:paraId="5D17B56C">
      <w:pPr>
        <w:widowControl/>
        <w:snapToGrid w:val="0"/>
        <w:spacing w:before="19"/>
        <w:jc w:val="center"/>
        <w:rPr>
          <w:rFonts w:ascii="方正小标宋简体" w:hAnsi="Times New Roman" w:eastAsia="方正小标宋简体" w:cs="Times New Roman"/>
          <w:sz w:val="32"/>
          <w:szCs w:val="32"/>
          <w:highlight w:val="none"/>
        </w:rPr>
      </w:pPr>
      <w:r>
        <w:rPr>
          <w:rFonts w:hint="eastAsia" w:ascii="方正小标宋简体" w:hAnsi="Times New Roman" w:eastAsia="方正小标宋简体" w:cs="Times New Roman"/>
          <w:sz w:val="32"/>
          <w:szCs w:val="32"/>
          <w:highlight w:val="none"/>
        </w:rPr>
        <w:t>如皋市政府采购合同</w:t>
      </w:r>
    </w:p>
    <w:p w14:paraId="2167295B">
      <w:pPr>
        <w:widowControl/>
        <w:snapToGrid w:val="0"/>
        <w:spacing w:before="19"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甲方 : </w:t>
      </w:r>
    </w:p>
    <w:p w14:paraId="24D77802">
      <w:pPr>
        <w:widowControl/>
        <w:snapToGrid w:val="0"/>
        <w:spacing w:before="19"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 : </w:t>
      </w:r>
    </w:p>
    <w:p w14:paraId="3D271DB0">
      <w:pPr>
        <w:widowControl/>
        <w:snapToGrid w:val="0"/>
        <w:spacing w:before="19"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    （甲方）（××项目）委托（代理机构名称，如有）进行了政府采购。按照评委会评审推荐、甲方确定乙方为成交单位。现甲乙双方协商同意签订本合同。</w:t>
      </w:r>
    </w:p>
    <w:p w14:paraId="09047617">
      <w:pPr>
        <w:widowControl/>
        <w:numPr>
          <w:ilvl w:val="0"/>
          <w:numId w:val="2"/>
        </w:numPr>
        <w:snapToGrid w:val="0"/>
        <w:spacing w:before="19" w:line="400" w:lineRule="exact"/>
        <w:ind w:left="1146" w:hanging="720"/>
        <w:rPr>
          <w:rFonts w:ascii="仿宋" w:hAnsi="仿宋" w:eastAsia="仿宋" w:cs="Times New Roman"/>
          <w:sz w:val="24"/>
          <w:highlight w:val="none"/>
          <w:u w:val="single"/>
        </w:rPr>
      </w:pPr>
      <w:r>
        <w:rPr>
          <w:rFonts w:hint="eastAsia" w:ascii="仿宋" w:hAnsi="仿宋" w:eastAsia="仿宋" w:cs="Times New Roman"/>
          <w:b/>
          <w:bCs/>
          <w:sz w:val="24"/>
          <w:highlight w:val="none"/>
        </w:rPr>
        <w:t>货物及其数量如下表</w:t>
      </w:r>
      <w:r>
        <w:rPr>
          <w:rFonts w:hint="eastAsia" w:ascii="仿宋" w:hAnsi="仿宋" w:eastAsia="仿宋" w:cs="Times New Roman"/>
          <w:sz w:val="24"/>
          <w:highlight w:val="none"/>
        </w:rPr>
        <w:t>：</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3256"/>
        <w:gridCol w:w="769"/>
        <w:gridCol w:w="769"/>
        <w:gridCol w:w="1203"/>
        <w:gridCol w:w="1425"/>
      </w:tblGrid>
      <w:tr w14:paraId="5BBB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37504649">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货物名称</w:t>
            </w:r>
          </w:p>
        </w:tc>
        <w:tc>
          <w:tcPr>
            <w:tcW w:w="3256" w:type="dxa"/>
            <w:vAlign w:val="center"/>
          </w:tcPr>
          <w:p w14:paraId="42BA605E">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规格型号</w:t>
            </w:r>
          </w:p>
        </w:tc>
        <w:tc>
          <w:tcPr>
            <w:tcW w:w="769" w:type="dxa"/>
            <w:vAlign w:val="center"/>
          </w:tcPr>
          <w:p w14:paraId="7C506F5E">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单位</w:t>
            </w:r>
          </w:p>
        </w:tc>
        <w:tc>
          <w:tcPr>
            <w:tcW w:w="769" w:type="dxa"/>
            <w:vAlign w:val="center"/>
          </w:tcPr>
          <w:p w14:paraId="1A2DFB09">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数量</w:t>
            </w:r>
          </w:p>
        </w:tc>
        <w:tc>
          <w:tcPr>
            <w:tcW w:w="1203" w:type="dxa"/>
            <w:vAlign w:val="center"/>
          </w:tcPr>
          <w:p w14:paraId="2177FC5C">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单价</w:t>
            </w:r>
          </w:p>
        </w:tc>
        <w:tc>
          <w:tcPr>
            <w:tcW w:w="1425" w:type="dxa"/>
            <w:vAlign w:val="center"/>
          </w:tcPr>
          <w:p w14:paraId="3B01674E">
            <w:pPr>
              <w:spacing w:line="400" w:lineRule="exact"/>
              <w:jc w:val="center"/>
              <w:rPr>
                <w:rFonts w:ascii="仿宋" w:hAnsi="仿宋" w:eastAsia="仿宋" w:cs="Times New Roman"/>
                <w:sz w:val="24"/>
                <w:highlight w:val="none"/>
              </w:rPr>
            </w:pPr>
            <w:r>
              <w:rPr>
                <w:rFonts w:hint="eastAsia" w:ascii="仿宋" w:hAnsi="仿宋" w:eastAsia="仿宋" w:cs="Times New Roman"/>
                <w:sz w:val="24"/>
                <w:highlight w:val="none"/>
              </w:rPr>
              <w:t>总价</w:t>
            </w:r>
          </w:p>
        </w:tc>
      </w:tr>
      <w:tr w14:paraId="7694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61E644D9">
            <w:pPr>
              <w:spacing w:line="400" w:lineRule="exact"/>
              <w:rPr>
                <w:rFonts w:ascii="仿宋" w:hAnsi="仿宋" w:eastAsia="仿宋" w:cs="Times New Roman"/>
                <w:sz w:val="24"/>
                <w:highlight w:val="none"/>
              </w:rPr>
            </w:pPr>
          </w:p>
        </w:tc>
        <w:tc>
          <w:tcPr>
            <w:tcW w:w="3256" w:type="dxa"/>
          </w:tcPr>
          <w:p w14:paraId="5AB86F52">
            <w:pPr>
              <w:spacing w:line="400" w:lineRule="exact"/>
              <w:rPr>
                <w:rFonts w:ascii="仿宋" w:hAnsi="仿宋" w:eastAsia="仿宋" w:cs="Times New Roman"/>
                <w:sz w:val="24"/>
                <w:highlight w:val="none"/>
              </w:rPr>
            </w:pPr>
          </w:p>
        </w:tc>
        <w:tc>
          <w:tcPr>
            <w:tcW w:w="769" w:type="dxa"/>
          </w:tcPr>
          <w:p w14:paraId="05C3C28E">
            <w:pPr>
              <w:spacing w:line="400" w:lineRule="exact"/>
              <w:rPr>
                <w:rFonts w:ascii="仿宋" w:hAnsi="仿宋" w:eastAsia="仿宋" w:cs="Times New Roman"/>
                <w:sz w:val="24"/>
                <w:highlight w:val="none"/>
              </w:rPr>
            </w:pPr>
          </w:p>
        </w:tc>
        <w:tc>
          <w:tcPr>
            <w:tcW w:w="769" w:type="dxa"/>
          </w:tcPr>
          <w:p w14:paraId="25EA972D">
            <w:pPr>
              <w:spacing w:line="400" w:lineRule="exact"/>
              <w:rPr>
                <w:rFonts w:ascii="仿宋" w:hAnsi="仿宋" w:eastAsia="仿宋" w:cs="Times New Roman"/>
                <w:sz w:val="24"/>
                <w:highlight w:val="none"/>
              </w:rPr>
            </w:pPr>
          </w:p>
        </w:tc>
        <w:tc>
          <w:tcPr>
            <w:tcW w:w="1203" w:type="dxa"/>
          </w:tcPr>
          <w:p w14:paraId="20B9300F">
            <w:pPr>
              <w:spacing w:line="400" w:lineRule="exact"/>
              <w:rPr>
                <w:rFonts w:ascii="仿宋" w:hAnsi="仿宋" w:eastAsia="仿宋" w:cs="Times New Roman"/>
                <w:sz w:val="24"/>
                <w:highlight w:val="none"/>
              </w:rPr>
            </w:pPr>
          </w:p>
        </w:tc>
        <w:tc>
          <w:tcPr>
            <w:tcW w:w="1425" w:type="dxa"/>
          </w:tcPr>
          <w:p w14:paraId="06FC8542">
            <w:pPr>
              <w:spacing w:line="400" w:lineRule="exact"/>
              <w:rPr>
                <w:rFonts w:ascii="仿宋" w:hAnsi="仿宋" w:eastAsia="仿宋" w:cs="Times New Roman"/>
                <w:sz w:val="24"/>
                <w:highlight w:val="none"/>
              </w:rPr>
            </w:pPr>
          </w:p>
        </w:tc>
      </w:tr>
      <w:tr w14:paraId="5B48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tcPr>
          <w:p w14:paraId="44A20C92">
            <w:pPr>
              <w:spacing w:line="400" w:lineRule="exact"/>
              <w:rPr>
                <w:rFonts w:ascii="仿宋" w:hAnsi="仿宋" w:eastAsia="仿宋" w:cs="Times New Roman"/>
                <w:sz w:val="24"/>
                <w:highlight w:val="none"/>
              </w:rPr>
            </w:pPr>
          </w:p>
        </w:tc>
        <w:tc>
          <w:tcPr>
            <w:tcW w:w="3256" w:type="dxa"/>
          </w:tcPr>
          <w:p w14:paraId="6BA73A7A">
            <w:pPr>
              <w:spacing w:line="400" w:lineRule="exact"/>
              <w:rPr>
                <w:rFonts w:ascii="仿宋" w:hAnsi="仿宋" w:eastAsia="仿宋" w:cs="Times New Roman"/>
                <w:sz w:val="24"/>
                <w:highlight w:val="none"/>
              </w:rPr>
            </w:pPr>
          </w:p>
        </w:tc>
        <w:tc>
          <w:tcPr>
            <w:tcW w:w="769" w:type="dxa"/>
          </w:tcPr>
          <w:p w14:paraId="44541D41">
            <w:pPr>
              <w:spacing w:line="400" w:lineRule="exact"/>
              <w:rPr>
                <w:rFonts w:ascii="仿宋" w:hAnsi="仿宋" w:eastAsia="仿宋" w:cs="Times New Roman"/>
                <w:sz w:val="24"/>
                <w:highlight w:val="none"/>
              </w:rPr>
            </w:pPr>
          </w:p>
        </w:tc>
        <w:tc>
          <w:tcPr>
            <w:tcW w:w="769" w:type="dxa"/>
          </w:tcPr>
          <w:p w14:paraId="7B10CC46">
            <w:pPr>
              <w:spacing w:line="400" w:lineRule="exact"/>
              <w:rPr>
                <w:rFonts w:ascii="仿宋" w:hAnsi="仿宋" w:eastAsia="仿宋" w:cs="Times New Roman"/>
                <w:sz w:val="24"/>
                <w:highlight w:val="none"/>
              </w:rPr>
            </w:pPr>
          </w:p>
        </w:tc>
        <w:tc>
          <w:tcPr>
            <w:tcW w:w="1203" w:type="dxa"/>
          </w:tcPr>
          <w:p w14:paraId="7F379C40">
            <w:pPr>
              <w:spacing w:line="400" w:lineRule="exact"/>
              <w:rPr>
                <w:rFonts w:ascii="仿宋" w:hAnsi="仿宋" w:eastAsia="仿宋" w:cs="Times New Roman"/>
                <w:sz w:val="24"/>
                <w:highlight w:val="none"/>
              </w:rPr>
            </w:pPr>
          </w:p>
        </w:tc>
        <w:tc>
          <w:tcPr>
            <w:tcW w:w="1425" w:type="dxa"/>
          </w:tcPr>
          <w:p w14:paraId="202F7A6A">
            <w:pPr>
              <w:spacing w:line="400" w:lineRule="exact"/>
              <w:rPr>
                <w:rFonts w:ascii="仿宋" w:hAnsi="仿宋" w:eastAsia="仿宋" w:cs="Times New Roman"/>
                <w:sz w:val="24"/>
                <w:highlight w:val="none"/>
              </w:rPr>
            </w:pPr>
          </w:p>
        </w:tc>
      </w:tr>
      <w:tr w14:paraId="7A98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80" w:type="dxa"/>
            <w:vAlign w:val="center"/>
          </w:tcPr>
          <w:p w14:paraId="31DE507F">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总      计</w:t>
            </w:r>
          </w:p>
        </w:tc>
        <w:tc>
          <w:tcPr>
            <w:tcW w:w="4794" w:type="dxa"/>
            <w:gridSpan w:val="3"/>
            <w:vAlign w:val="center"/>
          </w:tcPr>
          <w:p w14:paraId="1DF9C62C">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（大写）</w:t>
            </w:r>
          </w:p>
        </w:tc>
        <w:tc>
          <w:tcPr>
            <w:tcW w:w="2628" w:type="dxa"/>
            <w:gridSpan w:val="2"/>
            <w:vAlign w:val="center"/>
          </w:tcPr>
          <w:p w14:paraId="072509A2">
            <w:pPr>
              <w:spacing w:line="400" w:lineRule="exact"/>
              <w:rPr>
                <w:rFonts w:ascii="仿宋" w:hAnsi="仿宋" w:eastAsia="仿宋" w:cs="Times New Roman"/>
                <w:sz w:val="24"/>
                <w:highlight w:val="none"/>
              </w:rPr>
            </w:pPr>
            <w:r>
              <w:rPr>
                <w:rFonts w:hint="eastAsia" w:ascii="仿宋" w:hAnsi="仿宋" w:eastAsia="仿宋" w:cs="Times New Roman"/>
                <w:b/>
                <w:bCs/>
                <w:color w:val="333333"/>
                <w:sz w:val="24"/>
                <w:highlight w:val="none"/>
              </w:rPr>
              <w:t>￥</w:t>
            </w:r>
          </w:p>
        </w:tc>
      </w:tr>
    </w:tbl>
    <w:p w14:paraId="0E2D4670">
      <w:pPr>
        <w:keepNext w:val="0"/>
        <w:keepLines w:val="0"/>
        <w:pageBreakBefore w:val="0"/>
        <w:widowControl w:val="0"/>
        <w:numPr>
          <w:ilvl w:val="0"/>
          <w:numId w:val="2"/>
        </w:numPr>
        <w:kinsoku/>
        <w:wordWrap/>
        <w:overflowPunct/>
        <w:topLinePunct w:val="0"/>
        <w:autoSpaceDE/>
        <w:autoSpaceDN/>
        <w:bidi w:val="0"/>
        <w:adjustRightInd/>
        <w:spacing w:line="240" w:lineRule="auto"/>
        <w:ind w:left="1146" w:leftChars="0" w:hanging="720" w:firstLineChars="0"/>
        <w:textAlignment w:val="auto"/>
        <w:outlineLvl w:val="0"/>
        <w:rPr>
          <w:rFonts w:ascii="仿宋" w:hAnsi="仿宋" w:eastAsia="仿宋" w:cs="Times New Roman"/>
          <w:sz w:val="24"/>
          <w:highlight w:val="none"/>
        </w:rPr>
      </w:pPr>
      <w:r>
        <w:rPr>
          <w:rFonts w:hint="eastAsia" w:ascii="仿宋" w:hAnsi="仿宋" w:eastAsia="仿宋" w:cs="Times New Roman"/>
          <w:b/>
          <w:bCs/>
          <w:sz w:val="24"/>
          <w:highlight w:val="none"/>
        </w:rPr>
        <w:t>质保期</w:t>
      </w:r>
      <w:r>
        <w:rPr>
          <w:rFonts w:hint="eastAsia" w:ascii="仿宋" w:hAnsi="仿宋" w:eastAsia="仿宋" w:cs="Times New Roman"/>
          <w:sz w:val="24"/>
          <w:highlight w:val="none"/>
        </w:rPr>
        <w:t>：自交货并验收合格之日起计</w:t>
      </w:r>
      <w:r>
        <w:rPr>
          <w:rFonts w:hint="eastAsia" w:ascii="仿宋" w:hAnsi="仿宋" w:eastAsia="仿宋" w:cs="Times New Roman"/>
          <w:sz w:val="24"/>
          <w:highlight w:val="none"/>
          <w:lang w:val="en-US" w:eastAsia="zh-CN"/>
        </w:rPr>
        <w:t>叁</w:t>
      </w:r>
      <w:r>
        <w:rPr>
          <w:rFonts w:hint="eastAsia" w:ascii="仿宋" w:hAnsi="仿宋" w:eastAsia="仿宋" w:cs="Times New Roman"/>
          <w:sz w:val="24"/>
          <w:highlight w:val="none"/>
        </w:rPr>
        <w:t>年</w:t>
      </w:r>
      <w:r>
        <w:rPr>
          <w:rFonts w:hint="eastAsia" w:ascii="仿宋" w:hAnsi="仿宋" w:eastAsia="仿宋" w:cs="Times New Roman"/>
          <w:sz w:val="24"/>
          <w:highlight w:val="none"/>
          <w:lang w:eastAsia="zh-CN"/>
        </w:rPr>
        <w:t>。</w:t>
      </w:r>
    </w:p>
    <w:p w14:paraId="16076EEC">
      <w:pPr>
        <w:keepNext w:val="0"/>
        <w:keepLines w:val="0"/>
        <w:pageBreakBefore w:val="0"/>
        <w:widowControl/>
        <w:numPr>
          <w:ilvl w:val="0"/>
          <w:numId w:val="2"/>
        </w:numPr>
        <w:kinsoku/>
        <w:wordWrap/>
        <w:overflowPunct/>
        <w:topLinePunct w:val="0"/>
        <w:autoSpaceDE/>
        <w:autoSpaceDN/>
        <w:bidi w:val="0"/>
        <w:adjustRightInd/>
        <w:snapToGrid w:val="0"/>
        <w:spacing w:line="240" w:lineRule="auto"/>
        <w:ind w:left="1146" w:hanging="720"/>
        <w:textAlignment w:val="auto"/>
        <w:rPr>
          <w:rFonts w:ascii="仿宋" w:hAnsi="仿宋" w:eastAsia="仿宋" w:cs="Times New Roman"/>
          <w:sz w:val="24"/>
          <w:highlight w:val="none"/>
        </w:rPr>
      </w:pPr>
      <w:r>
        <w:rPr>
          <w:rFonts w:hint="eastAsia" w:ascii="仿宋" w:hAnsi="仿宋" w:eastAsia="仿宋" w:cs="Times New Roman"/>
          <w:b/>
          <w:bCs/>
          <w:sz w:val="24"/>
          <w:highlight w:val="none"/>
        </w:rPr>
        <w:t>交货时间</w:t>
      </w:r>
      <w:r>
        <w:rPr>
          <w:rFonts w:hint="eastAsia" w:ascii="仿宋" w:hAnsi="仿宋" w:eastAsia="仿宋" w:cs="Times New Roman"/>
          <w:sz w:val="24"/>
          <w:highlight w:val="none"/>
        </w:rPr>
        <w:t>：</w:t>
      </w:r>
      <w:r>
        <w:rPr>
          <w:rFonts w:hint="eastAsia" w:ascii="仿宋" w:hAnsi="仿宋" w:eastAsia="仿宋" w:cs="Times New Roman"/>
          <w:sz w:val="24"/>
          <w:highlight w:val="none"/>
          <w:lang w:val="en-US" w:eastAsia="zh-CN"/>
        </w:rPr>
        <w:t xml:space="preserve">自合同签订之日起40日历天内，完成供货、安装、培训、检验合格、交付使用。 </w:t>
      </w:r>
    </w:p>
    <w:p w14:paraId="64DE03E8">
      <w:pPr>
        <w:keepNext w:val="0"/>
        <w:keepLines w:val="0"/>
        <w:pageBreakBefore w:val="0"/>
        <w:widowControl/>
        <w:numPr>
          <w:ilvl w:val="0"/>
          <w:numId w:val="2"/>
        </w:numPr>
        <w:kinsoku/>
        <w:wordWrap/>
        <w:overflowPunct/>
        <w:topLinePunct w:val="0"/>
        <w:autoSpaceDE/>
        <w:autoSpaceDN/>
        <w:bidi w:val="0"/>
        <w:adjustRightInd/>
        <w:snapToGrid w:val="0"/>
        <w:spacing w:line="240" w:lineRule="auto"/>
        <w:ind w:left="1146" w:hanging="720"/>
        <w:textAlignment w:val="auto"/>
        <w:rPr>
          <w:rFonts w:ascii="仿宋" w:hAnsi="仿宋" w:eastAsia="仿宋" w:cs="Times New Roman"/>
          <w:sz w:val="24"/>
          <w:highlight w:val="none"/>
        </w:rPr>
      </w:pPr>
      <w:r>
        <w:rPr>
          <w:rFonts w:hint="eastAsia" w:ascii="仿宋" w:hAnsi="仿宋" w:eastAsia="仿宋" w:cs="Times New Roman"/>
          <w:b/>
          <w:bCs/>
          <w:sz w:val="24"/>
          <w:highlight w:val="none"/>
        </w:rPr>
        <w:t>交货地点</w:t>
      </w:r>
      <w:r>
        <w:rPr>
          <w:rFonts w:hint="eastAsia" w:ascii="仿宋" w:hAnsi="仿宋" w:eastAsia="仿宋" w:cs="Times New Roman"/>
          <w:sz w:val="24"/>
          <w:highlight w:val="none"/>
        </w:rPr>
        <w:t>：根据采购人要求</w:t>
      </w:r>
      <w:r>
        <w:rPr>
          <w:rFonts w:hint="eastAsia" w:ascii="仿宋" w:hAnsi="仿宋" w:eastAsia="仿宋" w:cs="Times New Roman"/>
          <w:sz w:val="24"/>
          <w:highlight w:val="none"/>
          <w:lang w:eastAsia="zh-CN"/>
        </w:rPr>
        <w:t>。</w:t>
      </w:r>
    </w:p>
    <w:p w14:paraId="4BD90BFB">
      <w:pPr>
        <w:keepNext w:val="0"/>
        <w:keepLines w:val="0"/>
        <w:pageBreakBefore w:val="0"/>
        <w:widowControl w:val="0"/>
        <w:numPr>
          <w:ilvl w:val="0"/>
          <w:numId w:val="2"/>
        </w:numPr>
        <w:kinsoku/>
        <w:wordWrap/>
        <w:overflowPunct/>
        <w:topLinePunct w:val="0"/>
        <w:autoSpaceDE/>
        <w:autoSpaceDN/>
        <w:bidi w:val="0"/>
        <w:adjustRightInd/>
        <w:spacing w:line="240" w:lineRule="auto"/>
        <w:ind w:left="1146" w:leftChars="0" w:hanging="720" w:firstLineChars="0"/>
        <w:textAlignment w:val="auto"/>
        <w:rPr>
          <w:rFonts w:ascii="仿宋" w:hAnsi="仿宋" w:eastAsia="仿宋" w:cs="Times New Roman"/>
          <w:sz w:val="28"/>
          <w:szCs w:val="28"/>
          <w:highlight w:val="none"/>
        </w:rPr>
      </w:pPr>
      <w:r>
        <w:rPr>
          <w:rFonts w:hint="eastAsia" w:ascii="仿宋" w:hAnsi="仿宋" w:eastAsia="仿宋" w:cs="Times New Roman"/>
          <w:b/>
          <w:bCs/>
          <w:sz w:val="24"/>
          <w:highlight w:val="none"/>
        </w:rPr>
        <w:t>付款</w:t>
      </w:r>
      <w:r>
        <w:rPr>
          <w:rFonts w:hint="eastAsia" w:ascii="仿宋" w:hAnsi="仿宋" w:eastAsia="仿宋" w:cs="Times New Roman"/>
          <w:b/>
          <w:bCs/>
          <w:sz w:val="24"/>
          <w:highlight w:val="none"/>
          <w:lang w:val="en-US" w:eastAsia="zh-CN"/>
        </w:rPr>
        <w:t>方式</w:t>
      </w:r>
      <w:r>
        <w:rPr>
          <w:rFonts w:hint="eastAsia" w:ascii="仿宋" w:hAnsi="仿宋" w:eastAsia="仿宋" w:cs="Times New Roman"/>
          <w:sz w:val="24"/>
          <w:highlight w:val="none"/>
        </w:rPr>
        <w:t>：</w:t>
      </w:r>
      <w:r>
        <w:rPr>
          <w:rFonts w:hint="eastAsia" w:ascii="仿宋" w:hAnsi="仿宋" w:eastAsia="仿宋" w:cs="Times New Roman"/>
          <w:sz w:val="24"/>
          <w:highlight w:val="none"/>
          <w:lang w:val="en-US" w:eastAsia="zh-CN"/>
        </w:rPr>
        <w:t>1.</w:t>
      </w:r>
      <w:r>
        <w:rPr>
          <w:rFonts w:hint="eastAsia" w:ascii="仿宋" w:hAnsi="仿宋" w:eastAsia="仿宋" w:cs="Times New Roman"/>
          <w:sz w:val="24"/>
          <w:highlight w:val="none"/>
        </w:rPr>
        <w:t>成交供应商应按照与采购人签订的合同规定交货。交货</w:t>
      </w:r>
    </w:p>
    <w:p w14:paraId="0545D46E">
      <w:pPr>
        <w:keepNext w:val="0"/>
        <w:keepLines w:val="0"/>
        <w:pageBreakBefore w:val="0"/>
        <w:widowControl w:val="0"/>
        <w:numPr>
          <w:ilvl w:val="0"/>
          <w:numId w:val="0"/>
        </w:numPr>
        <w:kinsoku/>
        <w:wordWrap/>
        <w:overflowPunct/>
        <w:topLinePunct w:val="0"/>
        <w:autoSpaceDE/>
        <w:autoSpaceDN/>
        <w:bidi w:val="0"/>
        <w:adjustRightInd/>
        <w:spacing w:line="240" w:lineRule="auto"/>
        <w:ind w:left="426" w:leftChars="0"/>
        <w:textAlignment w:val="auto"/>
        <w:rPr>
          <w:rFonts w:ascii="仿宋" w:hAnsi="仿宋" w:eastAsia="仿宋" w:cs="Times New Roman"/>
          <w:sz w:val="28"/>
          <w:szCs w:val="28"/>
          <w:highlight w:val="none"/>
        </w:rPr>
      </w:pPr>
      <w:r>
        <w:rPr>
          <w:rFonts w:hint="eastAsia" w:ascii="仿宋" w:hAnsi="仿宋" w:eastAsia="仿宋" w:cs="Times New Roman"/>
          <w:sz w:val="24"/>
          <w:highlight w:val="none"/>
        </w:rPr>
        <w:t>后成交供应商向采购人提供下列单据，按合同规定审核后付款：1、发票；</w:t>
      </w:r>
      <w:r>
        <w:rPr>
          <w:rFonts w:hint="eastAsia" w:ascii="仿宋" w:hAnsi="仿宋" w:eastAsia="仿宋" w:cs="Times New Roman"/>
          <w:sz w:val="24"/>
          <w:highlight w:val="none"/>
          <w:lang w:val="en-US" w:eastAsia="zh-CN"/>
        </w:rPr>
        <w:t>2</w:t>
      </w:r>
      <w:r>
        <w:rPr>
          <w:rFonts w:hint="eastAsia" w:ascii="仿宋" w:hAnsi="仿宋" w:eastAsia="仿宋" w:cs="Times New Roman"/>
          <w:sz w:val="24"/>
          <w:highlight w:val="none"/>
        </w:rPr>
        <w:t>、验收合格证书等。</w:t>
      </w:r>
    </w:p>
    <w:p w14:paraId="45C3BFE4">
      <w:pPr>
        <w:keepNext w:val="0"/>
        <w:keepLines w:val="0"/>
        <w:pageBreakBefore w:val="0"/>
        <w:widowControl/>
        <w:kinsoku/>
        <w:wordWrap/>
        <w:overflowPunct/>
        <w:topLinePunct w:val="0"/>
        <w:autoSpaceDE/>
        <w:autoSpaceDN/>
        <w:bidi w:val="0"/>
        <w:adjustRightInd/>
        <w:snapToGrid w:val="0"/>
        <w:spacing w:line="240" w:lineRule="auto"/>
        <w:ind w:left="479" w:leftChars="228" w:firstLine="480" w:firstLineChars="200"/>
        <w:textAlignment w:val="auto"/>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2.设备安装调试完毕并验收合格后付至合同价款总额的90%，余款待验收合格满两年后一次性付清。</w:t>
      </w:r>
      <w:r>
        <w:rPr>
          <w:rFonts w:hint="eastAsia" w:ascii="仿宋" w:hAnsi="仿宋" w:eastAsia="仿宋" w:cs="Times New Roman"/>
          <w:sz w:val="24"/>
          <w:highlight w:val="none"/>
          <w:lang w:val="zh-CN" w:eastAsia="zh-CN"/>
        </w:rPr>
        <w:t>如有质量问题，采购</w:t>
      </w:r>
      <w:r>
        <w:rPr>
          <w:rFonts w:hint="eastAsia" w:ascii="仿宋" w:hAnsi="仿宋" w:eastAsia="仿宋" w:cs="Times New Roman"/>
          <w:sz w:val="24"/>
          <w:highlight w:val="none"/>
          <w:lang w:val="en-US" w:eastAsia="zh-CN"/>
        </w:rPr>
        <w:t>人</w:t>
      </w:r>
      <w:r>
        <w:rPr>
          <w:rFonts w:hint="eastAsia" w:ascii="仿宋" w:hAnsi="仿宋" w:eastAsia="仿宋" w:cs="Times New Roman"/>
          <w:sz w:val="24"/>
          <w:highlight w:val="none"/>
          <w:lang w:val="zh-CN" w:eastAsia="zh-CN"/>
        </w:rPr>
        <w:t>有权顺延付款时间至</w:t>
      </w:r>
      <w:r>
        <w:rPr>
          <w:rFonts w:hint="eastAsia" w:ascii="仿宋" w:hAnsi="仿宋" w:eastAsia="仿宋" w:cs="Times New Roman"/>
          <w:sz w:val="24"/>
          <w:highlight w:val="none"/>
          <w:lang w:val="en-US" w:eastAsia="zh-CN"/>
        </w:rPr>
        <w:t>成交供应商</w:t>
      </w:r>
      <w:r>
        <w:rPr>
          <w:rFonts w:hint="eastAsia" w:ascii="仿宋" w:hAnsi="仿宋" w:eastAsia="仿宋" w:cs="Times New Roman"/>
          <w:sz w:val="24"/>
          <w:highlight w:val="none"/>
          <w:lang w:val="zh-CN" w:eastAsia="zh-CN"/>
        </w:rPr>
        <w:t>解决质量问题之日。每次支付前，成交人均应出具符合采购人财务规定以及开票报税要求的相应金额的正式发票。</w:t>
      </w:r>
    </w:p>
    <w:p w14:paraId="2D835ABD">
      <w:pPr>
        <w:keepNext w:val="0"/>
        <w:keepLines w:val="0"/>
        <w:pageBreakBefore w:val="0"/>
        <w:widowControl/>
        <w:numPr>
          <w:ilvl w:val="0"/>
          <w:numId w:val="2"/>
        </w:numPr>
        <w:kinsoku/>
        <w:wordWrap/>
        <w:overflowPunct/>
        <w:topLinePunct w:val="0"/>
        <w:autoSpaceDE/>
        <w:autoSpaceDN/>
        <w:bidi w:val="0"/>
        <w:adjustRightInd/>
        <w:snapToGrid w:val="0"/>
        <w:spacing w:line="240" w:lineRule="auto"/>
        <w:ind w:left="1146" w:hanging="720"/>
        <w:textAlignment w:val="auto"/>
        <w:rPr>
          <w:rFonts w:ascii="仿宋" w:hAnsi="仿宋" w:eastAsia="仿宋" w:cs="Times New Roman"/>
          <w:b/>
          <w:bCs/>
          <w:sz w:val="24"/>
          <w:highlight w:val="none"/>
        </w:rPr>
      </w:pPr>
      <w:r>
        <w:rPr>
          <w:rFonts w:hint="eastAsia" w:ascii="仿宋" w:hAnsi="仿宋" w:eastAsia="仿宋" w:cs="Times New Roman"/>
          <w:b/>
          <w:bCs/>
          <w:sz w:val="24"/>
          <w:highlight w:val="none"/>
        </w:rPr>
        <w:t>合同纠纷处理：</w:t>
      </w:r>
      <w:r>
        <w:rPr>
          <w:rFonts w:hint="eastAsia" w:ascii="仿宋" w:hAnsi="仿宋" w:eastAsia="仿宋" w:cs="Times New Roman"/>
          <w:sz w:val="24"/>
          <w:highlight w:val="none"/>
        </w:rPr>
        <w:t>本合同执行过程中发生纠纷，由甲方和乙方协商处理。</w:t>
      </w:r>
    </w:p>
    <w:p w14:paraId="00ED446C">
      <w:pPr>
        <w:keepNext w:val="0"/>
        <w:keepLines w:val="0"/>
        <w:pageBreakBefore w:val="0"/>
        <w:widowControl/>
        <w:numPr>
          <w:ilvl w:val="0"/>
          <w:numId w:val="2"/>
        </w:numPr>
        <w:kinsoku/>
        <w:wordWrap/>
        <w:overflowPunct/>
        <w:topLinePunct w:val="0"/>
        <w:autoSpaceDE/>
        <w:autoSpaceDN/>
        <w:bidi w:val="0"/>
        <w:adjustRightInd/>
        <w:snapToGrid w:val="0"/>
        <w:spacing w:line="240" w:lineRule="auto"/>
        <w:ind w:left="1146" w:hanging="720"/>
        <w:textAlignment w:val="auto"/>
        <w:rPr>
          <w:rFonts w:ascii="仿宋" w:hAnsi="仿宋" w:eastAsia="仿宋" w:cs="Times New Roman"/>
          <w:b/>
          <w:bCs/>
          <w:sz w:val="24"/>
          <w:highlight w:val="none"/>
        </w:rPr>
      </w:pPr>
      <w:r>
        <w:rPr>
          <w:rFonts w:hint="eastAsia" w:ascii="仿宋" w:hAnsi="仿宋" w:eastAsia="仿宋" w:cs="Times New Roman"/>
          <w:b/>
          <w:bCs/>
          <w:sz w:val="24"/>
          <w:highlight w:val="none"/>
        </w:rPr>
        <w:t>合同生效：</w:t>
      </w:r>
      <w:r>
        <w:rPr>
          <w:rFonts w:hint="eastAsia" w:ascii="仿宋" w:hAnsi="仿宋" w:eastAsia="仿宋" w:cs="Times New Roman"/>
          <w:sz w:val="24"/>
          <w:highlight w:val="none"/>
        </w:rPr>
        <w:t>本合同由甲乙双方签字盖章后生效。</w:t>
      </w:r>
    </w:p>
    <w:p w14:paraId="59C477F2">
      <w:pPr>
        <w:keepNext w:val="0"/>
        <w:keepLines w:val="0"/>
        <w:pageBreakBefore w:val="0"/>
        <w:widowControl/>
        <w:numPr>
          <w:ilvl w:val="0"/>
          <w:numId w:val="2"/>
        </w:numPr>
        <w:kinsoku/>
        <w:wordWrap/>
        <w:overflowPunct/>
        <w:topLinePunct w:val="0"/>
        <w:autoSpaceDE/>
        <w:autoSpaceDN/>
        <w:bidi w:val="0"/>
        <w:adjustRightInd/>
        <w:snapToGrid w:val="0"/>
        <w:spacing w:line="240" w:lineRule="auto"/>
        <w:ind w:left="1146" w:hanging="720"/>
        <w:textAlignment w:val="auto"/>
        <w:rPr>
          <w:rFonts w:ascii="仿宋" w:hAnsi="仿宋" w:eastAsia="仿宋" w:cs="Times New Roman"/>
          <w:b/>
          <w:bCs/>
          <w:sz w:val="24"/>
          <w:highlight w:val="none"/>
        </w:rPr>
      </w:pPr>
      <w:r>
        <w:rPr>
          <w:rFonts w:hint="eastAsia" w:ascii="仿宋" w:hAnsi="仿宋" w:eastAsia="仿宋" w:cs="Times New Roman"/>
          <w:b/>
          <w:bCs/>
          <w:sz w:val="24"/>
          <w:highlight w:val="none"/>
        </w:rPr>
        <w:t>组成本合同的文件包括：</w:t>
      </w:r>
    </w:p>
    <w:p w14:paraId="5B26C89B">
      <w:pPr>
        <w:keepNext w:val="0"/>
        <w:keepLines w:val="0"/>
        <w:pageBreakBefore w:val="0"/>
        <w:widowControl/>
        <w:kinsoku/>
        <w:wordWrap/>
        <w:overflowPunct/>
        <w:topLinePunct w:val="0"/>
        <w:autoSpaceDE/>
        <w:autoSpaceDN/>
        <w:bidi w:val="0"/>
        <w:adjustRightInd/>
        <w:snapToGrid w:val="0"/>
        <w:spacing w:line="240" w:lineRule="auto"/>
        <w:ind w:firstLine="480" w:firstLineChars="200"/>
        <w:textAlignment w:val="auto"/>
        <w:rPr>
          <w:rFonts w:ascii="仿宋" w:hAnsi="仿宋" w:eastAsia="仿宋" w:cs="Times New Roman"/>
          <w:bCs/>
          <w:sz w:val="24"/>
          <w:highlight w:val="none"/>
        </w:rPr>
      </w:pPr>
      <w:r>
        <w:rPr>
          <w:rFonts w:hint="eastAsia" w:ascii="仿宋" w:hAnsi="仿宋" w:eastAsia="仿宋" w:cs="Times New Roman"/>
          <w:bCs/>
          <w:sz w:val="24"/>
          <w:highlight w:val="none"/>
        </w:rPr>
        <w:t>1、本合同专用条款；</w:t>
      </w:r>
    </w:p>
    <w:p w14:paraId="05035F4C">
      <w:pPr>
        <w:keepNext w:val="0"/>
        <w:keepLines w:val="0"/>
        <w:pageBreakBefore w:val="0"/>
        <w:widowControl/>
        <w:kinsoku/>
        <w:wordWrap/>
        <w:overflowPunct/>
        <w:topLinePunct w:val="0"/>
        <w:autoSpaceDE/>
        <w:autoSpaceDN/>
        <w:bidi w:val="0"/>
        <w:adjustRightInd/>
        <w:snapToGrid w:val="0"/>
        <w:spacing w:line="240" w:lineRule="auto"/>
        <w:ind w:firstLine="480" w:firstLineChars="200"/>
        <w:textAlignment w:val="auto"/>
        <w:rPr>
          <w:rFonts w:ascii="仿宋" w:hAnsi="仿宋" w:eastAsia="仿宋" w:cs="Times New Roman"/>
          <w:bCs/>
          <w:sz w:val="24"/>
          <w:highlight w:val="none"/>
        </w:rPr>
      </w:pPr>
      <w:r>
        <w:rPr>
          <w:rFonts w:hint="eastAsia" w:ascii="仿宋" w:hAnsi="仿宋" w:eastAsia="仿宋" w:cs="Times New Roman"/>
          <w:bCs/>
          <w:sz w:val="24"/>
          <w:highlight w:val="none"/>
        </w:rPr>
        <w:t>2、甲乙双方商定的其他必要文件。</w:t>
      </w:r>
    </w:p>
    <w:p w14:paraId="0B660527">
      <w:pPr>
        <w:keepNext w:val="0"/>
        <w:keepLines w:val="0"/>
        <w:pageBreakBefore w:val="0"/>
        <w:widowControl/>
        <w:kinsoku/>
        <w:wordWrap/>
        <w:overflowPunct/>
        <w:topLinePunct w:val="0"/>
        <w:autoSpaceDE/>
        <w:autoSpaceDN/>
        <w:bidi w:val="0"/>
        <w:adjustRightInd/>
        <w:snapToGrid w:val="0"/>
        <w:spacing w:line="240" w:lineRule="auto"/>
        <w:textAlignment w:val="auto"/>
        <w:rPr>
          <w:rFonts w:ascii="仿宋" w:hAnsi="仿宋" w:eastAsia="仿宋" w:cs="Times New Roman"/>
          <w:bCs/>
          <w:sz w:val="24"/>
          <w:highlight w:val="none"/>
        </w:rPr>
      </w:pPr>
      <w:r>
        <w:rPr>
          <w:rFonts w:hint="eastAsia" w:ascii="仿宋" w:hAnsi="仿宋" w:eastAsia="仿宋" w:cs="Times New Roman"/>
          <w:bCs/>
          <w:sz w:val="24"/>
          <w:highlight w:val="none"/>
        </w:rPr>
        <w:t>上述合同文件内容互为补充，如有不明确，由甲方负责解释。</w:t>
      </w:r>
    </w:p>
    <w:p w14:paraId="45A2F820">
      <w:pPr>
        <w:keepNext w:val="0"/>
        <w:keepLines w:val="0"/>
        <w:pageBreakBefore w:val="0"/>
        <w:widowControl/>
        <w:kinsoku/>
        <w:wordWrap/>
        <w:overflowPunct/>
        <w:topLinePunct w:val="0"/>
        <w:autoSpaceDE/>
        <w:autoSpaceDN/>
        <w:bidi w:val="0"/>
        <w:adjustRightInd/>
        <w:snapToGrid w:val="0"/>
        <w:spacing w:line="240" w:lineRule="auto"/>
        <w:textAlignment w:val="auto"/>
        <w:rPr>
          <w:rFonts w:ascii="仿宋" w:hAnsi="仿宋" w:eastAsia="仿宋" w:cs="Times New Roman"/>
          <w:bCs/>
          <w:sz w:val="24"/>
          <w:highlight w:val="none"/>
        </w:rPr>
      </w:pPr>
      <w:r>
        <w:rPr>
          <w:rFonts w:hint="eastAsia" w:ascii="仿宋" w:hAnsi="仿宋" w:eastAsia="仿宋" w:cs="Times New Roman"/>
          <w:bCs/>
          <w:sz w:val="24"/>
          <w:highlight w:val="none"/>
        </w:rPr>
        <w:t>本合同一式两份，甲方持一份，乙方持一份。</w:t>
      </w:r>
    </w:p>
    <w:tbl>
      <w:tblPr>
        <w:tblStyle w:val="19"/>
        <w:tblW w:w="0" w:type="auto"/>
        <w:tblInd w:w="0" w:type="dxa"/>
        <w:tblLayout w:type="autofit"/>
        <w:tblCellMar>
          <w:top w:w="0" w:type="dxa"/>
          <w:left w:w="108" w:type="dxa"/>
          <w:bottom w:w="0" w:type="dxa"/>
          <w:right w:w="108" w:type="dxa"/>
        </w:tblCellMar>
      </w:tblPr>
      <w:tblGrid>
        <w:gridCol w:w="4261"/>
        <w:gridCol w:w="4261"/>
      </w:tblGrid>
      <w:tr w14:paraId="59EA49D6">
        <w:tblPrEx>
          <w:tblCellMar>
            <w:top w:w="0" w:type="dxa"/>
            <w:left w:w="108" w:type="dxa"/>
            <w:bottom w:w="0" w:type="dxa"/>
            <w:right w:w="108" w:type="dxa"/>
          </w:tblCellMar>
        </w:tblPrEx>
        <w:tc>
          <w:tcPr>
            <w:tcW w:w="4261" w:type="dxa"/>
          </w:tcPr>
          <w:p w14:paraId="27FB8773">
            <w:pPr>
              <w:widowControl/>
              <w:snapToGrid w:val="0"/>
              <w:spacing w:before="19" w:line="400" w:lineRule="exact"/>
              <w:rPr>
                <w:rFonts w:ascii="仿宋" w:hAnsi="仿宋" w:eastAsia="仿宋" w:cs="Times New Roman"/>
                <w:b/>
                <w:sz w:val="24"/>
                <w:highlight w:val="none"/>
                <w:u w:val="single"/>
              </w:rPr>
            </w:pPr>
            <w:r>
              <w:rPr>
                <w:rFonts w:hint="eastAsia" w:ascii="仿宋" w:hAnsi="仿宋" w:eastAsia="仿宋" w:cs="Times New Roman"/>
                <w:b/>
                <w:sz w:val="24"/>
                <w:highlight w:val="none"/>
              </w:rPr>
              <w:t>甲方（公章）：</w:t>
            </w:r>
          </w:p>
          <w:p w14:paraId="3E9ABA8D">
            <w:pPr>
              <w:widowControl/>
              <w:snapToGrid w:val="0"/>
              <w:spacing w:before="19" w:line="400" w:lineRule="exact"/>
              <w:rPr>
                <w:rFonts w:ascii="仿宋" w:hAnsi="仿宋" w:eastAsia="仿宋" w:cs="Times New Roman"/>
                <w:b/>
                <w:sz w:val="24"/>
                <w:highlight w:val="none"/>
                <w:u w:val="single"/>
              </w:rPr>
            </w:pPr>
            <w:r>
              <w:rPr>
                <w:rFonts w:hint="eastAsia" w:ascii="仿宋" w:hAnsi="仿宋" w:eastAsia="仿宋" w:cs="Times New Roman"/>
                <w:sz w:val="24"/>
                <w:highlight w:val="none"/>
              </w:rPr>
              <w:t>地址：</w:t>
            </w:r>
          </w:p>
          <w:p w14:paraId="06E90E58">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法定代表人（授权人）：</w:t>
            </w:r>
          </w:p>
          <w:p w14:paraId="743667A2">
            <w:pPr>
              <w:widowControl/>
              <w:snapToGrid w:val="0"/>
              <w:spacing w:before="19" w:line="400" w:lineRule="exact"/>
              <w:jc w:val="right"/>
              <w:rPr>
                <w:rFonts w:ascii="仿宋" w:hAnsi="仿宋" w:eastAsia="仿宋" w:cs="Times New Roman"/>
                <w:sz w:val="24"/>
                <w:highlight w:val="none"/>
                <w:u w:val="single"/>
              </w:rPr>
            </w:pPr>
          </w:p>
          <w:p w14:paraId="581095FA">
            <w:pPr>
              <w:widowControl/>
              <w:snapToGrid w:val="0"/>
              <w:spacing w:before="19" w:line="400" w:lineRule="exact"/>
              <w:jc w:val="right"/>
              <w:rPr>
                <w:rFonts w:ascii="仿宋" w:hAnsi="仿宋" w:eastAsia="仿宋" w:cs="Times New Roman"/>
                <w:sz w:val="24"/>
                <w:highlight w:val="none"/>
                <w:u w:val="single"/>
              </w:rPr>
            </w:pPr>
          </w:p>
          <w:p w14:paraId="4379DE58">
            <w:pPr>
              <w:widowControl/>
              <w:snapToGrid w:val="0"/>
              <w:spacing w:before="19" w:line="400" w:lineRule="exact"/>
              <w:jc w:val="right"/>
              <w:rPr>
                <w:rFonts w:ascii="仿宋" w:hAnsi="仿宋" w:eastAsia="仿宋" w:cs="Times New Roman"/>
                <w:sz w:val="24"/>
                <w:highlight w:val="none"/>
                <w:u w:val="single"/>
              </w:rPr>
            </w:pPr>
          </w:p>
          <w:p w14:paraId="5AEE9400">
            <w:pPr>
              <w:widowControl/>
              <w:snapToGrid w:val="0"/>
              <w:spacing w:before="19" w:line="400" w:lineRule="exact"/>
              <w:jc w:val="right"/>
              <w:rPr>
                <w:rFonts w:ascii="仿宋" w:hAnsi="仿宋" w:eastAsia="仿宋" w:cs="Times New Roman"/>
                <w:bCs/>
                <w:sz w:val="24"/>
                <w:highlight w:val="none"/>
              </w:rPr>
            </w:pPr>
            <w:r>
              <w:rPr>
                <w:rFonts w:hint="eastAsia" w:ascii="仿宋" w:hAnsi="仿宋" w:eastAsia="仿宋" w:cs="Times New Roman"/>
                <w:sz w:val="24"/>
                <w:highlight w:val="none"/>
              </w:rPr>
              <w:t>年月日</w:t>
            </w:r>
          </w:p>
        </w:tc>
        <w:tc>
          <w:tcPr>
            <w:tcW w:w="4261" w:type="dxa"/>
          </w:tcPr>
          <w:p w14:paraId="4534EB4C">
            <w:pPr>
              <w:widowControl/>
              <w:snapToGrid w:val="0"/>
              <w:spacing w:before="19" w:line="400" w:lineRule="exact"/>
              <w:rPr>
                <w:rFonts w:ascii="仿宋" w:hAnsi="仿宋" w:eastAsia="仿宋" w:cs="Times New Roman"/>
                <w:b/>
                <w:sz w:val="24"/>
                <w:highlight w:val="none"/>
                <w:u w:val="single"/>
              </w:rPr>
            </w:pPr>
            <w:r>
              <w:rPr>
                <w:rFonts w:hint="eastAsia" w:ascii="仿宋" w:hAnsi="仿宋" w:eastAsia="仿宋" w:cs="Times New Roman"/>
                <w:b/>
                <w:sz w:val="24"/>
                <w:highlight w:val="none"/>
              </w:rPr>
              <w:t>乙方（公章）：</w:t>
            </w:r>
          </w:p>
          <w:p w14:paraId="5D4E10B9">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地址：</w:t>
            </w:r>
          </w:p>
          <w:p w14:paraId="78EF5C89">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法定代表人（授权人）：</w:t>
            </w:r>
          </w:p>
          <w:p w14:paraId="6B8BA0E3">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户名：</w:t>
            </w:r>
          </w:p>
          <w:p w14:paraId="02FD982C">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开户银行：</w:t>
            </w:r>
          </w:p>
          <w:p w14:paraId="034285F3">
            <w:pPr>
              <w:widowControl/>
              <w:snapToGrid w:val="0"/>
              <w:spacing w:before="19"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账号：</w:t>
            </w:r>
          </w:p>
          <w:p w14:paraId="7B0CCBAE">
            <w:pPr>
              <w:widowControl/>
              <w:snapToGrid w:val="0"/>
              <w:spacing w:before="19" w:line="400" w:lineRule="exact"/>
              <w:jc w:val="right"/>
              <w:rPr>
                <w:rFonts w:ascii="仿宋" w:hAnsi="仿宋" w:eastAsia="仿宋" w:cs="Times New Roman"/>
                <w:bCs/>
                <w:sz w:val="24"/>
                <w:highlight w:val="none"/>
              </w:rPr>
            </w:pPr>
            <w:r>
              <w:rPr>
                <w:rFonts w:hint="eastAsia" w:ascii="仿宋" w:hAnsi="仿宋" w:eastAsia="仿宋" w:cs="Times New Roman"/>
                <w:sz w:val="24"/>
                <w:highlight w:val="none"/>
              </w:rPr>
              <w:t>年月日</w:t>
            </w:r>
          </w:p>
        </w:tc>
      </w:tr>
    </w:tbl>
    <w:p w14:paraId="422AB245">
      <w:pPr>
        <w:widowControl/>
        <w:snapToGrid w:val="0"/>
        <w:spacing w:before="19" w:line="400" w:lineRule="exact"/>
        <w:jc w:val="right"/>
        <w:rPr>
          <w:rFonts w:ascii="仿宋" w:hAnsi="仿宋" w:eastAsia="仿宋" w:cs="Times New Roman"/>
          <w:bCs/>
          <w:sz w:val="24"/>
          <w:highlight w:val="none"/>
        </w:rPr>
      </w:pPr>
    </w:p>
    <w:p w14:paraId="23AF2206">
      <w:pPr>
        <w:widowControl/>
        <w:snapToGrid w:val="0"/>
        <w:spacing w:before="19" w:line="240" w:lineRule="auto"/>
        <w:jc w:val="center"/>
        <w:rPr>
          <w:rFonts w:hint="eastAsia" w:ascii="仿宋" w:hAnsi="仿宋" w:eastAsia="仿宋" w:cs="Times New Roman"/>
          <w:b/>
          <w:bCs/>
          <w:sz w:val="24"/>
          <w:highlight w:val="none"/>
          <w:u w:val="double"/>
        </w:rPr>
      </w:pPr>
    </w:p>
    <w:p w14:paraId="34BD3F12">
      <w:pPr>
        <w:widowControl/>
        <w:snapToGrid w:val="0"/>
        <w:spacing w:before="19" w:line="240" w:lineRule="auto"/>
        <w:jc w:val="center"/>
        <w:rPr>
          <w:rFonts w:ascii="仿宋" w:hAnsi="仿宋" w:eastAsia="仿宋" w:cs="Times New Roman"/>
          <w:sz w:val="24"/>
          <w:highlight w:val="none"/>
        </w:rPr>
      </w:pPr>
      <w:r>
        <w:rPr>
          <w:rFonts w:hint="eastAsia" w:ascii="仿宋" w:hAnsi="仿宋" w:eastAsia="仿宋" w:cs="Times New Roman"/>
          <w:b/>
          <w:bCs/>
          <w:sz w:val="24"/>
          <w:highlight w:val="none"/>
          <w:u w:val="double"/>
        </w:rPr>
        <w:t>合同专用条款</w:t>
      </w:r>
    </w:p>
    <w:p w14:paraId="42237CB4">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第一条 供货及知识产权</w:t>
      </w:r>
    </w:p>
    <w:p w14:paraId="5410ABB3">
      <w:pPr>
        <w:spacing w:line="240" w:lineRule="auto"/>
        <w:ind w:firstLine="480" w:firstLineChars="200"/>
        <w:rPr>
          <w:rFonts w:ascii="仿宋" w:hAnsi="仿宋" w:eastAsia="仿宋" w:cs="Times New Roman"/>
          <w:sz w:val="24"/>
          <w:highlight w:val="none"/>
        </w:rPr>
      </w:pPr>
      <w:r>
        <w:rPr>
          <w:rFonts w:ascii="仿宋" w:hAnsi="仿宋" w:eastAsia="仿宋" w:cs="Times New Roman"/>
          <w:sz w:val="24"/>
          <w:highlight w:val="none"/>
        </w:rPr>
        <w:t>乙方应按竞争性谈判文件规定</w:t>
      </w:r>
      <w:r>
        <w:rPr>
          <w:rFonts w:hint="eastAsia" w:ascii="仿宋" w:hAnsi="仿宋" w:eastAsia="仿宋" w:cs="Times New Roman"/>
          <w:sz w:val="24"/>
          <w:highlight w:val="none"/>
        </w:rPr>
        <w:t>及响应文件承诺</w:t>
      </w:r>
      <w:r>
        <w:rPr>
          <w:rFonts w:ascii="仿宋" w:hAnsi="仿宋" w:eastAsia="仿宋" w:cs="Times New Roman"/>
          <w:sz w:val="24"/>
          <w:highlight w:val="none"/>
        </w:rPr>
        <w:t>的货物性能、技术要求、质量标准向甲方提供未经使用的全新产品。乙</w:t>
      </w:r>
      <w:r>
        <w:rPr>
          <w:rFonts w:hint="eastAsia" w:ascii="仿宋" w:hAnsi="仿宋" w:eastAsia="仿宋" w:cs="Times New Roman"/>
          <w:sz w:val="24"/>
          <w:highlight w:val="none"/>
        </w:rPr>
        <w:t>方应保证甲方在使用、接受本合同货物和服务或其任何一部分时不受第三方提出侵犯其专利权、版权、商标权和工业设计权等知识产权的起诉。一旦出现侵权，由乙方负全部责任。</w:t>
      </w:r>
    </w:p>
    <w:p w14:paraId="61E50B0E">
      <w:pPr>
        <w:spacing w:line="240" w:lineRule="auto"/>
        <w:ind w:firstLine="482" w:firstLineChars="200"/>
        <w:rPr>
          <w:rFonts w:ascii="仿宋" w:hAnsi="仿宋" w:eastAsia="仿宋" w:cs="Times New Roman"/>
          <w:sz w:val="24"/>
          <w:highlight w:val="none"/>
        </w:rPr>
      </w:pPr>
      <w:r>
        <w:rPr>
          <w:rFonts w:hint="eastAsia" w:ascii="仿宋" w:hAnsi="仿宋" w:eastAsia="仿宋" w:cs="Times New Roman"/>
          <w:b/>
          <w:sz w:val="24"/>
          <w:highlight w:val="none"/>
        </w:rPr>
        <w:t xml:space="preserve">第二条 合同总价款    </w:t>
      </w:r>
    </w:p>
    <w:p w14:paraId="09510104">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本合同总价款是货物设计、制造、包装、仓储、运输、安装及验收合格之前及保修期内备品备件发生的所有含税费用。本合同总价款还包含乙方应当提供的伴随服务/售后服务费用。</w:t>
      </w:r>
    </w:p>
    <w:p w14:paraId="0DC3FD8D">
      <w:pPr>
        <w:spacing w:line="240" w:lineRule="auto"/>
        <w:ind w:firstLine="482" w:firstLineChars="200"/>
        <w:rPr>
          <w:rFonts w:hint="eastAsia" w:ascii="仿宋" w:hAnsi="仿宋" w:eastAsia="仿宋" w:cs="Times New Roman"/>
          <w:b/>
          <w:sz w:val="24"/>
          <w:highlight w:val="none"/>
          <w:lang w:eastAsia="zh-CN"/>
        </w:rPr>
      </w:pPr>
      <w:r>
        <w:rPr>
          <w:rFonts w:hint="eastAsia" w:ascii="仿宋" w:hAnsi="仿宋" w:eastAsia="仿宋" w:cs="Times New Roman"/>
          <w:b/>
          <w:sz w:val="24"/>
          <w:highlight w:val="none"/>
        </w:rPr>
        <w:t>第三条 质量</w:t>
      </w:r>
      <w:r>
        <w:rPr>
          <w:rFonts w:hint="eastAsia" w:ascii="仿宋" w:hAnsi="仿宋" w:eastAsia="仿宋" w:cs="Times New Roman"/>
          <w:b/>
          <w:sz w:val="24"/>
          <w:highlight w:val="none"/>
          <w:lang w:val="en-US" w:eastAsia="zh-CN"/>
        </w:rPr>
        <w:t>标准</w:t>
      </w:r>
    </w:p>
    <w:p w14:paraId="5BD668C8">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1.</w:t>
      </w:r>
      <w:r>
        <w:rPr>
          <w:rFonts w:hint="eastAsia" w:ascii="仿宋" w:hAnsi="仿宋" w:eastAsia="仿宋" w:cs="Times New Roman"/>
          <w:sz w:val="24"/>
          <w:highlight w:val="none"/>
        </w:rPr>
        <w:t>供应商须明确所投货物的生产厂家、品牌、型号、规格、外形和尺寸等。</w:t>
      </w:r>
    </w:p>
    <w:p w14:paraId="70AA6E4D">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2.</w:t>
      </w:r>
      <w:r>
        <w:rPr>
          <w:rFonts w:hint="eastAsia" w:ascii="仿宋" w:hAnsi="仿宋" w:eastAsia="仿宋" w:cs="Times New Roman"/>
          <w:sz w:val="24"/>
          <w:highlight w:val="none"/>
        </w:rPr>
        <w:t>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p>
    <w:p w14:paraId="7282A2C8">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3.</w:t>
      </w:r>
      <w:r>
        <w:rPr>
          <w:rFonts w:hint="eastAsia" w:ascii="仿宋" w:hAnsi="仿宋" w:eastAsia="仿宋" w:cs="Times New Roman"/>
          <w:sz w:val="24"/>
          <w:highlight w:val="none"/>
        </w:rPr>
        <w:t xml:space="preserve">产品的包装，国家或行业主管部门有规定的，按规定执行。 </w:t>
      </w:r>
    </w:p>
    <w:p w14:paraId="4581329E">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4.</w:t>
      </w:r>
      <w:r>
        <w:rPr>
          <w:rFonts w:hint="eastAsia" w:ascii="仿宋" w:hAnsi="仿宋" w:eastAsia="仿宋" w:cs="Times New Roman"/>
          <w:sz w:val="24"/>
          <w:highlight w:val="none"/>
        </w:rPr>
        <w:t>供应商应保证提供的产品不得侵犯第三方专利权、商标权和工业设计权、版权等。否则，成交供应商应负全部责任，并承担由此引起的一切后果。</w:t>
      </w:r>
    </w:p>
    <w:p w14:paraId="007946A9">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5.</w:t>
      </w:r>
      <w:r>
        <w:rPr>
          <w:rFonts w:hint="eastAsia" w:ascii="仿宋" w:hAnsi="仿宋" w:eastAsia="仿宋" w:cs="Times New Roman"/>
          <w:sz w:val="24"/>
          <w:highlight w:val="none"/>
        </w:rPr>
        <w:t>供应商应保证其货物在正确安装、正常使用和保养条件下，在其使用寿命期内应具有满意的性能。</w:t>
      </w:r>
    </w:p>
    <w:p w14:paraId="3FFEC994">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6.</w:t>
      </w:r>
      <w:r>
        <w:rPr>
          <w:rFonts w:hint="eastAsia" w:ascii="仿宋" w:hAnsi="仿宋" w:eastAsia="仿宋" w:cs="Times New Roman"/>
          <w:sz w:val="24"/>
          <w:highlight w:val="none"/>
        </w:rPr>
        <w:t>供应商应采取必要的安全措施保证货物的运输及安装的安全，并承担货物的运输及安装过程中产生的风险。</w:t>
      </w:r>
    </w:p>
    <w:p w14:paraId="30BF553D">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7.</w:t>
      </w:r>
      <w:r>
        <w:rPr>
          <w:rFonts w:hint="eastAsia" w:ascii="仿宋" w:hAnsi="仿宋" w:eastAsia="仿宋" w:cs="Times New Roman"/>
          <w:sz w:val="24"/>
          <w:highlight w:val="none"/>
        </w:rPr>
        <w:t>供应商必须保证所提供的产品符合国家相应质量要求，供货时必须随产品提供出厂材料，包括但不限于检验报告（复印件）、产品合格证（原件）以及设备的测试、运行、保养手册。</w:t>
      </w:r>
    </w:p>
    <w:p w14:paraId="29FDC8EC">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8.</w:t>
      </w:r>
      <w:r>
        <w:rPr>
          <w:rFonts w:hint="eastAsia" w:ascii="仿宋" w:hAnsi="仿宋" w:eastAsia="仿宋" w:cs="Times New Roman"/>
          <w:sz w:val="24"/>
          <w:highlight w:val="none"/>
        </w:rPr>
        <w:t>供应商所供货物最终验收后，成交供应商应对由于设计、工艺或材料的缺陷而发生的任何不足或故障负责，并承担由此引起的一切后果。</w:t>
      </w:r>
    </w:p>
    <w:p w14:paraId="364E16DE">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9.</w:t>
      </w:r>
      <w:r>
        <w:rPr>
          <w:rFonts w:hint="eastAsia" w:ascii="仿宋" w:hAnsi="仿宋" w:eastAsia="仿宋" w:cs="Times New Roman"/>
          <w:sz w:val="24"/>
          <w:highlight w:val="none"/>
        </w:rPr>
        <w:t>成交产品的技术标准按国家标准执行，无国家标准的，按行业标准执行，无国家和行业标准的，按企业标准执行；但在采购文件中有特别要求的，按采购文件中规定的要求执行，并且符合相关法律、法规规定的要求。</w:t>
      </w:r>
    </w:p>
    <w:p w14:paraId="042EFBBC">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10.</w:t>
      </w:r>
      <w:r>
        <w:rPr>
          <w:rFonts w:hint="eastAsia" w:ascii="仿宋" w:hAnsi="仿宋" w:eastAsia="仿宋" w:cs="Times New Roman"/>
          <w:sz w:val="24"/>
          <w:highlight w:val="none"/>
        </w:rPr>
        <w:t>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14B53175">
      <w:pPr>
        <w:spacing w:line="240" w:lineRule="auto"/>
        <w:ind w:firstLine="482" w:firstLineChars="200"/>
        <w:rPr>
          <w:rFonts w:hint="default" w:ascii="仿宋" w:hAnsi="仿宋" w:eastAsia="仿宋" w:cs="Times New Roman"/>
          <w:b/>
          <w:sz w:val="24"/>
          <w:highlight w:val="none"/>
          <w:lang w:val="en-US" w:eastAsia="zh-CN"/>
        </w:rPr>
      </w:pPr>
      <w:r>
        <w:rPr>
          <w:rFonts w:hint="eastAsia" w:ascii="仿宋" w:hAnsi="仿宋" w:eastAsia="仿宋" w:cs="Times New Roman"/>
          <w:b/>
          <w:sz w:val="24"/>
          <w:highlight w:val="none"/>
        </w:rPr>
        <w:t xml:space="preserve">第四条 </w:t>
      </w:r>
      <w:r>
        <w:rPr>
          <w:rFonts w:hint="eastAsia" w:ascii="仿宋" w:hAnsi="仿宋" w:eastAsia="仿宋" w:cs="Times New Roman"/>
          <w:b/>
          <w:sz w:val="24"/>
          <w:highlight w:val="none"/>
          <w:lang w:val="en-US" w:eastAsia="zh-CN"/>
        </w:rPr>
        <w:t>验收方案</w:t>
      </w:r>
    </w:p>
    <w:p w14:paraId="58D1324B">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1.</w:t>
      </w:r>
      <w:r>
        <w:rPr>
          <w:rFonts w:hint="eastAsia" w:ascii="仿宋" w:hAnsi="仿宋" w:eastAsia="仿宋" w:cs="Times New Roman"/>
          <w:sz w:val="24"/>
          <w:highlight w:val="none"/>
        </w:rPr>
        <w:t>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p>
    <w:p w14:paraId="74BB8405">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2.到货验收时，</w:t>
      </w:r>
      <w:r>
        <w:rPr>
          <w:rFonts w:hint="eastAsia" w:ascii="仿宋" w:hAnsi="仿宋" w:eastAsia="仿宋" w:cs="Times New Roman"/>
          <w:sz w:val="24"/>
          <w:highlight w:val="none"/>
        </w:rPr>
        <w:t>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p>
    <w:p w14:paraId="626F8D06">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第五条 售后服务</w:t>
      </w:r>
    </w:p>
    <w:p w14:paraId="02BECD08">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1.</w:t>
      </w:r>
      <w:r>
        <w:rPr>
          <w:rFonts w:hint="eastAsia" w:ascii="仿宋" w:hAnsi="仿宋" w:eastAsia="仿宋" w:cs="Times New Roman"/>
          <w:sz w:val="24"/>
          <w:highlight w:val="none"/>
        </w:rPr>
        <w:t>在免费质保期内设备发生非人为故障，成交供应商应免费上门检修维修，免费更换原厂原规格同质量的零部件。</w:t>
      </w:r>
    </w:p>
    <w:p w14:paraId="156A7BDA">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2.</w:t>
      </w:r>
      <w:r>
        <w:rPr>
          <w:rFonts w:hint="eastAsia" w:ascii="仿宋" w:hAnsi="仿宋" w:eastAsia="仿宋" w:cs="Times New Roman"/>
          <w:sz w:val="24"/>
          <w:highlight w:val="none"/>
        </w:rPr>
        <w:t>在免费质保期内，成交人接需方电话后2小时内响应，4～6小时内到达现场维修，非采购人人为引起的故障一概由成交供应商负责并承担一切费用，免费保修期内因维修所延误时间顺延免费保修期。</w:t>
      </w:r>
    </w:p>
    <w:p w14:paraId="2F0F0C40">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质保期内如果成交供应商对于产品故障未在规定时间内进行处理，采购人有权交具有资质的第三方进行维修处理，所产生的费用在余款中扣除。</w:t>
      </w:r>
    </w:p>
    <w:p w14:paraId="1B7A962A">
      <w:pPr>
        <w:spacing w:line="24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3.</w:t>
      </w:r>
      <w:r>
        <w:rPr>
          <w:rFonts w:hint="eastAsia" w:ascii="仿宋" w:hAnsi="仿宋" w:eastAsia="仿宋" w:cs="Times New Roman"/>
          <w:sz w:val="24"/>
          <w:highlight w:val="none"/>
        </w:rPr>
        <w:t>负责终身维修。质保期满后若设备出现故障，成交供应商应在接到用户通知后12小时内派维修人员上门修理。保修期外供货方提供有偿服务或签订维护服务合约委托供货方进行定期维护，零配件按成交价分解结算。</w:t>
      </w:r>
    </w:p>
    <w:p w14:paraId="661B4A8E">
      <w:pPr>
        <w:spacing w:line="240" w:lineRule="auto"/>
        <w:ind w:firstLine="480" w:firstLineChars="200"/>
        <w:rPr>
          <w:rFonts w:hint="eastAsia" w:ascii="仿宋" w:hAnsi="仿宋" w:eastAsia="仿宋" w:cs="Times New Roman"/>
          <w:sz w:val="24"/>
          <w:highlight w:val="none"/>
          <w:lang w:eastAsia="zh-CN"/>
        </w:rPr>
      </w:pPr>
      <w:r>
        <w:rPr>
          <w:rFonts w:hint="eastAsia" w:ascii="仿宋" w:hAnsi="仿宋" w:eastAsia="仿宋" w:cs="Times New Roman"/>
          <w:sz w:val="24"/>
          <w:highlight w:val="none"/>
          <w:lang w:val="en-US" w:eastAsia="zh-CN"/>
        </w:rPr>
        <w:t>4.</w:t>
      </w:r>
      <w:r>
        <w:rPr>
          <w:rFonts w:hint="eastAsia" w:ascii="仿宋" w:hAnsi="仿宋" w:eastAsia="仿宋" w:cs="Times New Roman"/>
          <w:sz w:val="24"/>
          <w:highlight w:val="none"/>
        </w:rPr>
        <w:t>技术服务信息（要求提供成交供应商设有的售后服务机构名称、地址，以及专业技术人员名单和联系电话）</w:t>
      </w:r>
      <w:r>
        <w:rPr>
          <w:rFonts w:hint="eastAsia" w:ascii="仿宋" w:hAnsi="仿宋" w:eastAsia="仿宋" w:cs="Times New Roman"/>
          <w:sz w:val="24"/>
          <w:highlight w:val="none"/>
          <w:lang w:eastAsia="zh-CN"/>
        </w:rPr>
        <w:t>。</w:t>
      </w:r>
    </w:p>
    <w:p w14:paraId="7544F8E5">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第六条 违约责任</w:t>
      </w:r>
    </w:p>
    <w:p w14:paraId="696C8C28">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1、甲方无正当理由拒收货物、拒付货物款的，由甲方向乙方偿付合同总价的5%违约金。</w:t>
      </w:r>
    </w:p>
    <w:p w14:paraId="1A27E860">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2、甲方未按合同规定的期限向乙方支付货款的，每逾期1天甲方向乙方偿付欠款总额的5‰滞纳金，但累计滞纳金总额不超过欠款总额的5% 。</w:t>
      </w:r>
    </w:p>
    <w:p w14:paraId="1127C440">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3、如乙方不能交付货物，乙方应向甲方支付合同总价５％的违约金。</w:t>
      </w:r>
    </w:p>
    <w:p w14:paraId="5AAE8169">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4、</w:t>
      </w:r>
      <w:r>
        <w:rPr>
          <w:rFonts w:ascii="仿宋" w:hAnsi="仿宋" w:eastAsia="仿宋" w:cs="Times New Roman"/>
          <w:sz w:val="24"/>
          <w:highlight w:val="none"/>
        </w:rPr>
        <w:t>乙方逾期交付货物的，每逾期1天，乙方向甲方偿付逾期交货部分货款总额的5‰的滞纳金</w:t>
      </w:r>
      <w:r>
        <w:rPr>
          <w:rFonts w:hint="eastAsia" w:ascii="仿宋" w:hAnsi="仿宋" w:eastAsia="仿宋" w:cs="Times New Roman"/>
          <w:sz w:val="24"/>
          <w:highlight w:val="none"/>
        </w:rPr>
        <w:t>。如乙方逾期交货达10天，甲方有权解除合同，解除合同的通知自到达乙方时生效。</w:t>
      </w:r>
    </w:p>
    <w:p w14:paraId="6C1D665A">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5、</w:t>
      </w:r>
      <w:r>
        <w:rPr>
          <w:rFonts w:ascii="仿宋" w:hAnsi="仿宋" w:eastAsia="仿宋" w:cs="Times New Roman"/>
          <w:sz w:val="24"/>
          <w:highlight w:val="none"/>
        </w:rPr>
        <w:t>乙方所交</w:t>
      </w:r>
      <w:r>
        <w:rPr>
          <w:rFonts w:hint="eastAsia" w:ascii="仿宋" w:hAnsi="仿宋" w:eastAsia="仿宋" w:cs="Times New Roman"/>
          <w:sz w:val="24"/>
          <w:highlight w:val="none"/>
        </w:rPr>
        <w:t>付</w:t>
      </w:r>
      <w:r>
        <w:rPr>
          <w:rFonts w:ascii="仿宋" w:hAnsi="仿宋" w:eastAsia="仿宋" w:cs="Times New Roman"/>
          <w:sz w:val="24"/>
          <w:highlight w:val="none"/>
        </w:rPr>
        <w:t>的货物品种、型号、规格不符合合同规定的，甲方有权拒收。</w:t>
      </w:r>
      <w:r>
        <w:rPr>
          <w:rFonts w:hint="eastAsia" w:ascii="仿宋" w:hAnsi="仿宋" w:eastAsia="仿宋" w:cs="Times New Roman"/>
          <w:sz w:val="24"/>
          <w:highlight w:val="none"/>
        </w:rPr>
        <w:t>甲方拒收的，</w:t>
      </w:r>
      <w:r>
        <w:rPr>
          <w:rFonts w:ascii="仿宋" w:hAnsi="仿宋" w:eastAsia="仿宋" w:cs="Times New Roman"/>
          <w:sz w:val="24"/>
          <w:highlight w:val="none"/>
        </w:rPr>
        <w:t>乙方</w:t>
      </w:r>
      <w:r>
        <w:rPr>
          <w:rFonts w:hint="eastAsia" w:ascii="仿宋" w:hAnsi="仿宋" w:eastAsia="仿宋" w:cs="Times New Roman"/>
          <w:sz w:val="24"/>
          <w:highlight w:val="none"/>
        </w:rPr>
        <w:t>应</w:t>
      </w:r>
      <w:r>
        <w:rPr>
          <w:rFonts w:ascii="仿宋" w:hAnsi="仿宋" w:eastAsia="仿宋" w:cs="Times New Roman"/>
          <w:sz w:val="24"/>
          <w:highlight w:val="none"/>
        </w:rPr>
        <w:t>向甲方支付货款总额5%的违约金。</w:t>
      </w:r>
    </w:p>
    <w:p w14:paraId="4D83165E">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6、在乙方承诺的或国家规定的质量保证期内（取两者中最长的期限），</w:t>
      </w:r>
      <w:r>
        <w:rPr>
          <w:rFonts w:ascii="仿宋" w:hAnsi="仿宋" w:eastAsia="仿宋" w:cs="Times New Roman"/>
          <w:sz w:val="24"/>
          <w:highlight w:val="none"/>
        </w:rPr>
        <w:t>如经乙方两次维修</w:t>
      </w:r>
      <w:r>
        <w:rPr>
          <w:rFonts w:hint="eastAsia" w:ascii="仿宋" w:hAnsi="仿宋" w:eastAsia="仿宋" w:cs="Times New Roman"/>
          <w:sz w:val="24"/>
          <w:highlight w:val="none"/>
        </w:rPr>
        <w:t>或更换</w:t>
      </w:r>
      <w:r>
        <w:rPr>
          <w:rFonts w:ascii="仿宋" w:hAnsi="仿宋" w:eastAsia="仿宋" w:cs="Times New Roman"/>
          <w:sz w:val="24"/>
          <w:highlight w:val="none"/>
        </w:rPr>
        <w:t>，货物仍不能达到合同约定</w:t>
      </w:r>
      <w:r>
        <w:rPr>
          <w:rFonts w:hint="eastAsia" w:ascii="仿宋" w:hAnsi="仿宋" w:eastAsia="仿宋" w:cs="Times New Roman"/>
          <w:sz w:val="24"/>
          <w:highlight w:val="none"/>
        </w:rPr>
        <w:t>的</w:t>
      </w:r>
      <w:r>
        <w:rPr>
          <w:rFonts w:ascii="仿宋" w:hAnsi="仿宋" w:eastAsia="仿宋" w:cs="Times New Roman"/>
          <w:sz w:val="24"/>
          <w:highlight w:val="none"/>
        </w:rPr>
        <w:t>质量标准，甲方有权退货，乙方</w:t>
      </w:r>
      <w:r>
        <w:rPr>
          <w:rFonts w:hint="eastAsia" w:ascii="仿宋" w:hAnsi="仿宋" w:eastAsia="仿宋" w:cs="Times New Roman"/>
          <w:sz w:val="24"/>
          <w:highlight w:val="none"/>
        </w:rPr>
        <w:t>应</w:t>
      </w:r>
      <w:r>
        <w:rPr>
          <w:rFonts w:ascii="仿宋" w:hAnsi="仿宋" w:eastAsia="仿宋" w:cs="Times New Roman"/>
          <w:sz w:val="24"/>
          <w:highlight w:val="none"/>
        </w:rPr>
        <w:t>退回全部货款，并按第3款处理，同时，乙方还须赔偿甲方因此遭受的损失。</w:t>
      </w:r>
    </w:p>
    <w:p w14:paraId="0769A59A">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7、乙方未按本合同的规定和服务承诺提供服务的，应按合同总价款的_3_%向甲方承担违约责任。</w:t>
      </w:r>
    </w:p>
    <w:p w14:paraId="2920E483">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w:t>
      </w:r>
      <w:r>
        <w:rPr>
          <w:rFonts w:hint="eastAsia" w:ascii="仿宋" w:hAnsi="仿宋" w:eastAsia="仿宋" w:cs="Times New Roman"/>
          <w:b/>
          <w:sz w:val="24"/>
          <w:highlight w:val="none"/>
          <w:lang w:val="en-US" w:eastAsia="zh-CN"/>
        </w:rPr>
        <w:t>七</w:t>
      </w:r>
      <w:r>
        <w:rPr>
          <w:rFonts w:hint="eastAsia" w:ascii="仿宋" w:hAnsi="仿宋" w:eastAsia="仿宋" w:cs="Times New Roman"/>
          <w:b/>
          <w:sz w:val="24"/>
          <w:highlight w:val="none"/>
        </w:rPr>
        <w:t>条 合同的变更和终止</w:t>
      </w:r>
    </w:p>
    <w:p w14:paraId="0868B4E5">
      <w:pPr>
        <w:widowControl w:val="0"/>
        <w:snapToGrid w:val="0"/>
        <w:spacing w:line="240" w:lineRule="auto"/>
        <w:ind w:firstLine="480" w:firstLineChars="200"/>
        <w:jc w:val="left"/>
        <w:rPr>
          <w:rFonts w:ascii="仿宋" w:hAnsi="仿宋" w:eastAsia="仿宋" w:cs="Times New Roman"/>
          <w:kern w:val="2"/>
          <w:sz w:val="24"/>
          <w:szCs w:val="24"/>
          <w:highlight w:val="none"/>
          <w:lang w:val="en-US" w:eastAsia="zh-CN" w:bidi="ar-SA"/>
        </w:rPr>
      </w:pPr>
      <w:r>
        <w:rPr>
          <w:rFonts w:hint="eastAsia" w:ascii="仿宋" w:hAnsi="仿宋" w:eastAsia="仿宋" w:cs="Times New Roman"/>
          <w:kern w:val="2"/>
          <w:sz w:val="24"/>
          <w:szCs w:val="24"/>
          <w:highlight w:val="none"/>
          <w:lang w:val="en-US" w:eastAsia="zh-CN" w:bidi="ar-SA"/>
        </w:rPr>
        <w:t>除《政府采购法》第49条、第50条第二款规定的情形外，本合同一经签订，甲乙双方不得擅自变更、中止或终止合同。</w:t>
      </w:r>
    </w:p>
    <w:p w14:paraId="1BE83A10">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w:t>
      </w:r>
      <w:r>
        <w:rPr>
          <w:rFonts w:hint="eastAsia" w:ascii="仿宋" w:hAnsi="仿宋" w:eastAsia="仿宋" w:cs="Times New Roman"/>
          <w:b/>
          <w:sz w:val="24"/>
          <w:highlight w:val="none"/>
          <w:lang w:val="en-US" w:eastAsia="zh-CN"/>
        </w:rPr>
        <w:t>八</w:t>
      </w:r>
      <w:r>
        <w:rPr>
          <w:rFonts w:hint="eastAsia" w:ascii="仿宋" w:hAnsi="仿宋" w:eastAsia="仿宋" w:cs="Times New Roman"/>
          <w:b/>
          <w:sz w:val="24"/>
          <w:highlight w:val="none"/>
        </w:rPr>
        <w:t>条 合同的转让</w:t>
      </w:r>
    </w:p>
    <w:p w14:paraId="3DE6E425">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乙方不得擅自部分或全部转让其应履行的合同义务。</w:t>
      </w:r>
    </w:p>
    <w:p w14:paraId="0B64B58A">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w:t>
      </w:r>
      <w:r>
        <w:rPr>
          <w:rFonts w:hint="eastAsia" w:ascii="仿宋" w:hAnsi="仿宋" w:eastAsia="仿宋" w:cs="Times New Roman"/>
          <w:b/>
          <w:sz w:val="24"/>
          <w:highlight w:val="none"/>
          <w:lang w:val="en-US" w:eastAsia="zh-CN"/>
        </w:rPr>
        <w:t>九</w:t>
      </w:r>
      <w:r>
        <w:rPr>
          <w:rFonts w:hint="eastAsia" w:ascii="仿宋" w:hAnsi="仿宋" w:eastAsia="仿宋" w:cs="Times New Roman"/>
          <w:b/>
          <w:sz w:val="24"/>
          <w:highlight w:val="none"/>
        </w:rPr>
        <w:t>条 争议的解决</w:t>
      </w:r>
    </w:p>
    <w:p w14:paraId="2AE58F01">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6EC95FD3">
      <w:pPr>
        <w:spacing w:line="24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2、因履行本合同引起的或与本合同有关的争议，甲、乙双方应首先通过友好协商解决，如果协商不能解决争议，向南通市仲裁委员会按其仲裁规则申请仲裁。</w:t>
      </w:r>
    </w:p>
    <w:p w14:paraId="4CB56C8D">
      <w:pPr>
        <w:spacing w:line="240" w:lineRule="auto"/>
        <w:ind w:firstLine="482" w:firstLineChars="200"/>
        <w:rPr>
          <w:rFonts w:ascii="仿宋" w:hAnsi="仿宋" w:eastAsia="仿宋" w:cs="Times New Roman"/>
          <w:b/>
          <w:sz w:val="24"/>
          <w:highlight w:val="none"/>
        </w:rPr>
      </w:pPr>
      <w:r>
        <w:rPr>
          <w:rFonts w:hint="eastAsia" w:ascii="仿宋" w:hAnsi="仿宋" w:eastAsia="仿宋" w:cs="Times New Roman"/>
          <w:b/>
          <w:sz w:val="24"/>
          <w:highlight w:val="none"/>
        </w:rPr>
        <w:t>第十条 合同生效及其他</w:t>
      </w:r>
    </w:p>
    <w:p w14:paraId="42E367F9">
      <w:pPr>
        <w:spacing w:line="240" w:lineRule="auto"/>
        <w:ind w:firstLine="480" w:firstLineChars="200"/>
        <w:outlineLvl w:val="0"/>
        <w:rPr>
          <w:rFonts w:ascii="仿宋" w:hAnsi="仿宋" w:eastAsia="仿宋" w:cs="Times New Roman"/>
          <w:sz w:val="24"/>
          <w:highlight w:val="none"/>
        </w:rPr>
      </w:pPr>
      <w:r>
        <w:rPr>
          <w:rFonts w:hint="eastAsia" w:ascii="仿宋" w:hAnsi="仿宋" w:eastAsia="仿宋" w:cs="Times New Roman"/>
          <w:sz w:val="24"/>
          <w:highlight w:val="none"/>
        </w:rPr>
        <w:t>1、本合同自签订之日起生效。</w:t>
      </w:r>
    </w:p>
    <w:p w14:paraId="037FE86E">
      <w:pPr>
        <w:spacing w:line="400" w:lineRule="exact"/>
        <w:ind w:firstLine="560" w:firstLineChars="200"/>
        <w:outlineLvl w:val="0"/>
        <w:rPr>
          <w:rFonts w:ascii="仿宋" w:hAnsi="仿宋" w:eastAsia="仿宋"/>
          <w:sz w:val="24"/>
          <w:highlight w:val="none"/>
        </w:rPr>
      </w:pPr>
      <w:r>
        <w:rPr>
          <w:rFonts w:ascii="黑体" w:hAnsi="黑体" w:eastAsia="黑体"/>
          <w:kern w:val="2"/>
          <w:sz w:val="28"/>
          <w:szCs w:val="28"/>
          <w:highlight w:val="none"/>
        </w:rPr>
        <w:br w:type="page"/>
      </w:r>
    </w:p>
    <w:p w14:paraId="6CC71B71">
      <w:pPr>
        <w:pStyle w:val="37"/>
        <w:spacing w:line="240" w:lineRule="auto"/>
        <w:ind w:firstLine="0"/>
        <w:jc w:val="center"/>
        <w:rPr>
          <w:rFonts w:ascii="方正小标宋简体" w:eastAsia="方正小标宋简体"/>
          <w:bCs/>
          <w:sz w:val="32"/>
          <w:szCs w:val="32"/>
          <w:highlight w:val="none"/>
        </w:rPr>
      </w:pPr>
      <w:r>
        <w:rPr>
          <w:rFonts w:hint="eastAsia" w:ascii="方正小标宋简体" w:eastAsia="方正小标宋简体"/>
          <w:bCs/>
          <w:sz w:val="32"/>
          <w:szCs w:val="32"/>
          <w:highlight w:val="none"/>
        </w:rPr>
        <w:t>第5章 竞争性谈判响应文件组成</w:t>
      </w:r>
    </w:p>
    <w:p w14:paraId="324901DC">
      <w:pPr>
        <w:pStyle w:val="37"/>
        <w:spacing w:line="240" w:lineRule="auto"/>
        <w:ind w:firstLine="0"/>
        <w:jc w:val="center"/>
        <w:rPr>
          <w:rFonts w:ascii="方正小标宋简体" w:eastAsia="方正小标宋简体"/>
          <w:bCs/>
          <w:sz w:val="32"/>
          <w:szCs w:val="32"/>
          <w:highlight w:val="none"/>
        </w:rPr>
      </w:pPr>
    </w:p>
    <w:p w14:paraId="17EFFDCD">
      <w:pPr>
        <w:spacing w:line="500" w:lineRule="exact"/>
        <w:ind w:firstLine="880" w:firstLineChars="20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如皋市政府采购竞争性谈判响应文件</w:t>
      </w:r>
    </w:p>
    <w:p w14:paraId="69732CD8">
      <w:pPr>
        <w:ind w:firstLine="1434" w:firstLineChars="595"/>
        <w:rPr>
          <w:rFonts w:ascii="宋体" w:hAnsi="宋体"/>
          <w:b/>
          <w:sz w:val="24"/>
          <w:highlight w:val="none"/>
        </w:rPr>
      </w:pPr>
    </w:p>
    <w:p w14:paraId="26359D1C">
      <w:pPr>
        <w:ind w:firstLine="2072" w:firstLineChars="645"/>
        <w:rPr>
          <w:rFonts w:ascii="宋体" w:hAnsi="宋体"/>
          <w:b/>
          <w:sz w:val="32"/>
          <w:szCs w:val="32"/>
          <w:highlight w:val="none"/>
        </w:rPr>
      </w:pPr>
    </w:p>
    <w:p w14:paraId="54779EF4">
      <w:pPr>
        <w:rPr>
          <w:rFonts w:ascii="宋体" w:hAnsi="宋体"/>
          <w:b/>
          <w:sz w:val="32"/>
          <w:szCs w:val="32"/>
          <w:highlight w:val="none"/>
        </w:rPr>
      </w:pPr>
      <w:r>
        <w:rPr>
          <w:rFonts w:hint="eastAsia" w:ascii="宋体" w:hAnsi="宋体"/>
          <w:b/>
          <w:sz w:val="32"/>
          <w:szCs w:val="32"/>
          <w:highlight w:val="none"/>
        </w:rPr>
        <w:t>项目名称：</w:t>
      </w:r>
      <w:r>
        <w:rPr>
          <w:rFonts w:hint="eastAsia"/>
          <w:b/>
          <w:bCs/>
          <w:sz w:val="32"/>
          <w:highlight w:val="none"/>
          <w:lang w:val="en-US" w:eastAsia="zh-CN"/>
        </w:rPr>
        <w:t>如皋市高级技工学校钳工职业技能鉴定设备</w:t>
      </w:r>
    </w:p>
    <w:p w14:paraId="2CE8DA66">
      <w:pPr>
        <w:rPr>
          <w:rFonts w:hint="eastAsia" w:ascii="宋体" w:hAnsi="宋体" w:eastAsia="宋体"/>
          <w:b/>
          <w:sz w:val="32"/>
          <w:szCs w:val="32"/>
          <w:highlight w:val="none"/>
          <w:u w:val="single"/>
          <w:lang w:eastAsia="zh-CN"/>
        </w:rPr>
      </w:pPr>
      <w:r>
        <w:rPr>
          <w:rFonts w:hint="eastAsia" w:ascii="宋体" w:hAnsi="宋体"/>
          <w:b/>
          <w:sz w:val="32"/>
          <w:szCs w:val="32"/>
          <w:highlight w:val="none"/>
        </w:rPr>
        <w:t>计划编号：</w:t>
      </w:r>
      <w:r>
        <w:rPr>
          <w:rFonts w:hint="eastAsia" w:ascii="宋体" w:hAnsi="宋体"/>
          <w:b/>
          <w:sz w:val="32"/>
          <w:szCs w:val="32"/>
          <w:highlight w:val="none"/>
          <w:lang w:eastAsia="zh-CN"/>
        </w:rPr>
        <w:t xml:space="preserve"> </w:t>
      </w:r>
    </w:p>
    <w:p w14:paraId="3319C14D">
      <w:pPr>
        <w:jc w:val="center"/>
        <w:rPr>
          <w:rFonts w:ascii="宋体" w:hAnsi="宋体"/>
          <w:b/>
          <w:sz w:val="32"/>
          <w:szCs w:val="32"/>
          <w:highlight w:val="none"/>
          <w:u w:val="single"/>
        </w:rPr>
      </w:pPr>
    </w:p>
    <w:p w14:paraId="68D920B3">
      <w:pPr>
        <w:jc w:val="center"/>
        <w:rPr>
          <w:rFonts w:ascii="宋体" w:hAnsi="宋体"/>
          <w:b/>
          <w:sz w:val="32"/>
          <w:szCs w:val="32"/>
          <w:highlight w:val="none"/>
          <w:u w:val="single"/>
        </w:rPr>
      </w:pPr>
    </w:p>
    <w:p w14:paraId="74BE39D6">
      <w:pPr>
        <w:jc w:val="center"/>
        <w:rPr>
          <w:rFonts w:ascii="宋体" w:hAnsi="宋体"/>
          <w:b/>
          <w:sz w:val="32"/>
          <w:szCs w:val="32"/>
          <w:highlight w:val="none"/>
          <w:u w:val="single"/>
        </w:rPr>
      </w:pPr>
    </w:p>
    <w:p w14:paraId="74D55EA6">
      <w:pPr>
        <w:jc w:val="center"/>
        <w:rPr>
          <w:rFonts w:ascii="宋体" w:hAnsi="宋体"/>
          <w:b/>
          <w:sz w:val="32"/>
          <w:szCs w:val="32"/>
          <w:highlight w:val="none"/>
          <w:u w:val="single"/>
        </w:rPr>
      </w:pPr>
    </w:p>
    <w:p w14:paraId="626CBC3C">
      <w:pPr>
        <w:jc w:val="center"/>
        <w:rPr>
          <w:rFonts w:ascii="宋体" w:hAnsi="宋体"/>
          <w:b/>
          <w:sz w:val="32"/>
          <w:szCs w:val="32"/>
          <w:highlight w:val="none"/>
          <w:u w:val="single"/>
        </w:rPr>
      </w:pPr>
    </w:p>
    <w:p w14:paraId="6F834B69">
      <w:pPr>
        <w:jc w:val="center"/>
        <w:rPr>
          <w:rFonts w:ascii="宋体" w:hAnsi="宋体"/>
          <w:b/>
          <w:sz w:val="32"/>
          <w:szCs w:val="32"/>
          <w:highlight w:val="none"/>
          <w:u w:val="single"/>
        </w:rPr>
      </w:pPr>
    </w:p>
    <w:p w14:paraId="05AC44AC">
      <w:pPr>
        <w:jc w:val="center"/>
        <w:rPr>
          <w:rFonts w:ascii="宋体" w:hAnsi="宋体"/>
          <w:b/>
          <w:sz w:val="32"/>
          <w:szCs w:val="32"/>
          <w:highlight w:val="none"/>
          <w:u w:val="single"/>
        </w:rPr>
      </w:pPr>
    </w:p>
    <w:p w14:paraId="679FDA29">
      <w:pPr>
        <w:jc w:val="center"/>
        <w:rPr>
          <w:rFonts w:ascii="宋体" w:hAnsi="宋体"/>
          <w:b/>
          <w:sz w:val="32"/>
          <w:szCs w:val="32"/>
          <w:highlight w:val="none"/>
          <w:u w:val="single"/>
        </w:rPr>
      </w:pPr>
    </w:p>
    <w:p w14:paraId="1788DE83">
      <w:pPr>
        <w:jc w:val="center"/>
        <w:rPr>
          <w:rFonts w:ascii="宋体" w:hAnsi="宋体"/>
          <w:b/>
          <w:sz w:val="32"/>
          <w:szCs w:val="32"/>
          <w:highlight w:val="none"/>
          <w:u w:val="single"/>
        </w:rPr>
      </w:pPr>
    </w:p>
    <w:p w14:paraId="076346B0">
      <w:pPr>
        <w:pStyle w:val="11"/>
        <w:rPr>
          <w:rFonts w:ascii="文鼎CS楷体" w:eastAsia="文鼎CS楷体"/>
          <w:b/>
          <w:bCs/>
          <w:sz w:val="32"/>
          <w:szCs w:val="32"/>
          <w:highlight w:val="none"/>
        </w:rPr>
      </w:pPr>
    </w:p>
    <w:p w14:paraId="52695197">
      <w:pPr>
        <w:pStyle w:val="11"/>
        <w:rPr>
          <w:rFonts w:ascii="文鼎CS楷体" w:eastAsia="文鼎CS楷体"/>
          <w:b/>
          <w:bCs/>
          <w:sz w:val="32"/>
          <w:szCs w:val="32"/>
          <w:highlight w:val="none"/>
        </w:rPr>
      </w:pPr>
    </w:p>
    <w:p w14:paraId="4915692B">
      <w:pPr>
        <w:rPr>
          <w:sz w:val="32"/>
          <w:szCs w:val="32"/>
          <w:highlight w:val="none"/>
          <w:u w:val="single"/>
        </w:rPr>
      </w:pPr>
      <w:r>
        <w:rPr>
          <w:rFonts w:hint="eastAsia"/>
          <w:b/>
          <w:sz w:val="32"/>
          <w:szCs w:val="32"/>
          <w:highlight w:val="none"/>
        </w:rPr>
        <w:t>供应商名称：</w:t>
      </w:r>
    </w:p>
    <w:p w14:paraId="65F988A3">
      <w:pPr>
        <w:snapToGrid w:val="0"/>
        <w:spacing w:line="500" w:lineRule="atLeast"/>
        <w:rPr>
          <w:rFonts w:ascii="宋体" w:hAnsi="宋体"/>
          <w:b/>
          <w:color w:val="000000"/>
          <w:sz w:val="32"/>
          <w:szCs w:val="32"/>
          <w:highlight w:val="none"/>
        </w:rPr>
      </w:pPr>
      <w:r>
        <w:rPr>
          <w:rFonts w:hint="eastAsia" w:ascii="宋体" w:hAnsi="宋体"/>
          <w:b/>
          <w:color w:val="000000"/>
          <w:sz w:val="32"/>
          <w:szCs w:val="32"/>
          <w:highlight w:val="none"/>
        </w:rPr>
        <w:t xml:space="preserve">地址： </w:t>
      </w:r>
    </w:p>
    <w:p w14:paraId="6A69912C">
      <w:pPr>
        <w:snapToGrid w:val="0"/>
        <w:spacing w:line="500" w:lineRule="atLeast"/>
        <w:rPr>
          <w:rFonts w:ascii="宋体" w:hAnsi="宋体"/>
          <w:b/>
          <w:color w:val="000000"/>
          <w:sz w:val="32"/>
          <w:szCs w:val="32"/>
          <w:highlight w:val="none"/>
        </w:rPr>
      </w:pPr>
      <w:r>
        <w:rPr>
          <w:rFonts w:hint="eastAsia"/>
          <w:b/>
          <w:sz w:val="32"/>
          <w:szCs w:val="32"/>
          <w:highlight w:val="none"/>
        </w:rPr>
        <w:t>联系</w:t>
      </w:r>
      <w:r>
        <w:rPr>
          <w:rFonts w:hint="eastAsia" w:ascii="宋体" w:hAnsi="宋体"/>
          <w:b/>
          <w:color w:val="000000"/>
          <w:sz w:val="32"/>
          <w:szCs w:val="32"/>
          <w:highlight w:val="none"/>
        </w:rPr>
        <w:t xml:space="preserve">电话： </w:t>
      </w:r>
    </w:p>
    <w:p w14:paraId="12F0495F">
      <w:pPr>
        <w:snapToGrid w:val="0"/>
        <w:spacing w:line="500" w:lineRule="atLeast"/>
        <w:jc w:val="center"/>
        <w:rPr>
          <w:rFonts w:ascii="宋体" w:hAnsi="宋体"/>
          <w:b/>
          <w:color w:val="000000"/>
          <w:sz w:val="32"/>
          <w:szCs w:val="32"/>
          <w:highlight w:val="none"/>
        </w:rPr>
      </w:pPr>
      <w:r>
        <w:rPr>
          <w:rFonts w:hint="eastAsia" w:ascii="宋体" w:hAnsi="宋体"/>
          <w:b/>
          <w:color w:val="000000"/>
          <w:sz w:val="32"/>
          <w:szCs w:val="32"/>
          <w:highlight w:val="none"/>
        </w:rPr>
        <w:t>年月日</w:t>
      </w:r>
    </w:p>
    <w:p w14:paraId="26741491">
      <w:pPr>
        <w:ind w:firstLine="954" w:firstLineChars="396"/>
        <w:rPr>
          <w:rFonts w:ascii="宋体" w:hAnsi="宋体"/>
          <w:b/>
          <w:color w:val="000000"/>
          <w:sz w:val="24"/>
          <w:highlight w:val="none"/>
        </w:rPr>
      </w:pPr>
    </w:p>
    <w:p w14:paraId="7C802CDC">
      <w:pPr>
        <w:spacing w:line="500" w:lineRule="exact"/>
        <w:ind w:firstLine="560" w:firstLineChars="200"/>
        <w:rPr>
          <w:rFonts w:ascii="仿宋" w:hAnsi="仿宋" w:eastAsia="仿宋"/>
          <w:sz w:val="28"/>
          <w:szCs w:val="28"/>
          <w:highlight w:val="none"/>
        </w:rPr>
      </w:pPr>
      <w:r>
        <w:rPr>
          <w:rFonts w:hint="eastAsia" w:ascii="黑体" w:hAnsi="黑体" w:eastAsia="黑体"/>
          <w:sz w:val="28"/>
          <w:szCs w:val="28"/>
          <w:highlight w:val="none"/>
        </w:rPr>
        <w:t>一、资格证明文件</w:t>
      </w:r>
    </w:p>
    <w:p w14:paraId="50ED9556">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（一）</w:t>
      </w:r>
      <w:r>
        <w:rPr>
          <w:rFonts w:hint="eastAsia" w:ascii="仿宋" w:hAnsi="仿宋" w:eastAsia="仿宋" w:cs="Arial"/>
          <w:sz w:val="28"/>
          <w:szCs w:val="28"/>
          <w:highlight w:val="none"/>
        </w:rPr>
        <w:t>法人或者其他组织的营业执照，自然人的身份证（复印件）。</w:t>
      </w:r>
    </w:p>
    <w:p w14:paraId="02DF1B26">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（二）参加本次政府采购活动前的会计报表</w:t>
      </w:r>
      <w:r>
        <w:rPr>
          <w:rFonts w:hint="eastAsia" w:ascii="仿宋" w:hAnsi="仿宋" w:eastAsia="仿宋" w:cs="Arial"/>
          <w:sz w:val="28"/>
          <w:szCs w:val="28"/>
          <w:highlight w:val="none"/>
        </w:rPr>
        <w:t>（复印件，成立不满一年不需提供）。</w:t>
      </w:r>
    </w:p>
    <w:p w14:paraId="1A4558D7">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（复印件）。</w:t>
      </w:r>
    </w:p>
    <w:p w14:paraId="7011F728">
      <w:pPr>
        <w:spacing w:before="50" w:afterLines="50"/>
        <w:ind w:firstLine="560" w:firstLineChars="200"/>
        <w:jc w:val="left"/>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（四）根据项目需求提供履行合同</w:t>
      </w:r>
      <w:r>
        <w:rPr>
          <w:rFonts w:hint="eastAsia" w:ascii="仿宋" w:hAnsi="仿宋" w:eastAsia="仿宋" w:cs="Arial"/>
          <w:sz w:val="28"/>
          <w:szCs w:val="28"/>
          <w:highlight w:val="none"/>
        </w:rPr>
        <w:t>必需的设备和专业技术能力的声明及证明材料。</w:t>
      </w:r>
    </w:p>
    <w:p w14:paraId="65A80DCB">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4063FED9">
      <w:pPr>
        <w:ind w:firstLine="560" w:firstLineChars="200"/>
        <w:rPr>
          <w:rFonts w:ascii="仿宋" w:hAnsi="仿宋" w:eastAsia="仿宋"/>
          <w:sz w:val="28"/>
          <w:szCs w:val="28"/>
          <w:highlight w:val="none"/>
        </w:rPr>
      </w:pPr>
      <w:r>
        <w:rPr>
          <w:rFonts w:hint="eastAsia" w:ascii="仿宋" w:hAnsi="仿宋" w:eastAsia="仿宋"/>
          <w:sz w:val="28"/>
          <w:szCs w:val="28"/>
          <w:highlight w:val="none"/>
        </w:rPr>
        <w:t>我公司郑重声明：我公司具备履行本项采购合同所必需的设备和专业技术能力，为履行本项采购合同我公司具备如下主要设备和主要专业技术能力：</w:t>
      </w:r>
    </w:p>
    <w:p w14:paraId="50701121">
      <w:pPr>
        <w:ind w:firstLine="560" w:firstLineChars="200"/>
        <w:rPr>
          <w:rFonts w:ascii="仿宋" w:hAnsi="仿宋" w:eastAsia="仿宋"/>
          <w:sz w:val="28"/>
          <w:szCs w:val="28"/>
          <w:highlight w:val="none"/>
        </w:rPr>
      </w:pPr>
      <w:r>
        <w:rPr>
          <w:rFonts w:hint="eastAsia" w:ascii="仿宋" w:hAnsi="仿宋" w:eastAsia="仿宋"/>
          <w:sz w:val="28"/>
          <w:szCs w:val="28"/>
          <w:highlight w:val="none"/>
        </w:rPr>
        <w:t>主要设备有：________。</w:t>
      </w:r>
    </w:p>
    <w:p w14:paraId="718872F1">
      <w:pPr>
        <w:ind w:firstLine="560" w:firstLineChars="200"/>
        <w:rPr>
          <w:rFonts w:ascii="仿宋" w:hAnsi="仿宋" w:eastAsia="仿宋"/>
          <w:sz w:val="28"/>
          <w:szCs w:val="28"/>
          <w:highlight w:val="none"/>
        </w:rPr>
      </w:pPr>
      <w:r>
        <w:rPr>
          <w:rFonts w:hint="eastAsia" w:ascii="仿宋" w:hAnsi="仿宋" w:eastAsia="仿宋"/>
          <w:sz w:val="28"/>
          <w:szCs w:val="28"/>
          <w:highlight w:val="none"/>
        </w:rPr>
        <w:t>主要专业技术能力有：________。</w:t>
      </w:r>
    </w:p>
    <w:p w14:paraId="556C776B">
      <w:pPr>
        <w:ind w:firstLine="560" w:firstLineChars="200"/>
        <w:rPr>
          <w:rFonts w:ascii="仿宋" w:hAnsi="仿宋" w:eastAsia="仿宋"/>
          <w:sz w:val="28"/>
          <w:szCs w:val="28"/>
          <w:highlight w:val="none"/>
        </w:rPr>
      </w:pPr>
    </w:p>
    <w:p w14:paraId="10EFC0FB">
      <w:pPr>
        <w:ind w:firstLine="2520" w:firstLineChars="900"/>
        <w:rPr>
          <w:rFonts w:ascii="仿宋" w:hAnsi="仿宋" w:eastAsia="仿宋"/>
          <w:sz w:val="28"/>
          <w:szCs w:val="28"/>
          <w:highlight w:val="none"/>
        </w:rPr>
      </w:pPr>
      <w:r>
        <w:rPr>
          <w:rFonts w:hint="eastAsia" w:ascii="仿宋" w:hAnsi="仿宋" w:eastAsia="仿宋"/>
          <w:sz w:val="28"/>
          <w:szCs w:val="28"/>
          <w:highlight w:val="none"/>
        </w:rPr>
        <w:t>供应商名称（公章）：</w:t>
      </w:r>
    </w:p>
    <w:p w14:paraId="237A22A9">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4E1273E9">
      <w:pPr>
        <w:spacing w:before="50" w:afterLines="50"/>
        <w:ind w:firstLine="560" w:firstLineChars="200"/>
        <w:jc w:val="left"/>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p>
    <w:p w14:paraId="26E28DE3">
      <w:pPr>
        <w:ind w:firstLine="560" w:firstLineChars="200"/>
        <w:rPr>
          <w:rFonts w:ascii="仿宋" w:hAnsi="仿宋" w:eastAsia="仿宋" w:cs="Arial"/>
          <w:sz w:val="28"/>
          <w:szCs w:val="28"/>
          <w:highlight w:val="none"/>
        </w:rPr>
      </w:pPr>
      <w:r>
        <w:rPr>
          <w:rFonts w:ascii="仿宋" w:hAnsi="仿宋" w:eastAsia="仿宋"/>
          <w:sz w:val="28"/>
          <w:szCs w:val="28"/>
          <w:highlight w:val="none"/>
        </w:rPr>
        <w:br w:type="page"/>
      </w:r>
      <w:r>
        <w:rPr>
          <w:rFonts w:hint="eastAsia" w:ascii="仿宋" w:hAnsi="仿宋" w:eastAsia="仿宋"/>
          <w:sz w:val="28"/>
          <w:szCs w:val="28"/>
          <w:highlight w:val="none"/>
        </w:rPr>
        <w:t>（五）</w:t>
      </w:r>
      <w:r>
        <w:rPr>
          <w:rFonts w:hint="eastAsia" w:ascii="仿宋" w:hAnsi="仿宋" w:eastAsia="仿宋" w:cs="Arial"/>
          <w:sz w:val="28"/>
          <w:szCs w:val="28"/>
          <w:highlight w:val="none"/>
        </w:rPr>
        <w:t>参加本次政府采购活动前 3 年内在经营活动中没有重大违法记录的书面声明。</w:t>
      </w:r>
    </w:p>
    <w:p w14:paraId="2EFF0ED8">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声  明</w:t>
      </w:r>
    </w:p>
    <w:p w14:paraId="554DC862">
      <w:pPr>
        <w:ind w:firstLine="482"/>
        <w:rPr>
          <w:rFonts w:ascii="仿宋" w:hAnsi="仿宋" w:eastAsia="仿宋"/>
          <w:sz w:val="28"/>
          <w:szCs w:val="28"/>
          <w:highlight w:val="none"/>
        </w:rPr>
      </w:pPr>
      <w:r>
        <w:rPr>
          <w:rFonts w:hint="eastAsia" w:ascii="仿宋" w:hAnsi="仿宋" w:eastAsia="仿宋"/>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2D575F2A">
      <w:pPr>
        <w:ind w:firstLine="482"/>
        <w:rPr>
          <w:rFonts w:ascii="仿宋" w:hAnsi="仿宋" w:eastAsia="仿宋"/>
          <w:sz w:val="28"/>
          <w:szCs w:val="28"/>
          <w:highlight w:val="none"/>
        </w:rPr>
      </w:pPr>
      <w:r>
        <w:rPr>
          <w:rFonts w:hint="eastAsia" w:ascii="仿宋" w:hAnsi="仿宋" w:eastAsia="仿宋"/>
          <w:sz w:val="28"/>
          <w:szCs w:val="28"/>
          <w:highlight w:val="none"/>
        </w:rPr>
        <w:t>在响应文件提交截止时间前，没有被“信用中国”（</w:t>
      </w:r>
      <w:r>
        <w:rPr>
          <w:rFonts w:ascii="仿宋" w:hAnsi="仿宋" w:eastAsia="仿宋"/>
          <w:sz w:val="28"/>
          <w:szCs w:val="28"/>
          <w:highlight w:val="none"/>
        </w:rPr>
        <w:t>www.creditchina.gov.cn</w:t>
      </w:r>
      <w:r>
        <w:rPr>
          <w:rFonts w:hint="eastAsia" w:ascii="仿宋" w:hAnsi="仿宋" w:eastAsia="仿宋"/>
          <w:sz w:val="28"/>
          <w:szCs w:val="28"/>
          <w:highlight w:val="none"/>
        </w:rPr>
        <w:t>）、“中国政府采购网”（</w:t>
      </w:r>
      <w:r>
        <w:rPr>
          <w:rFonts w:ascii="仿宋" w:hAnsi="仿宋" w:eastAsia="仿宋"/>
          <w:sz w:val="28"/>
          <w:szCs w:val="28"/>
          <w:highlight w:val="none"/>
        </w:rPr>
        <w:t>www.ccgp.gov.cn</w:t>
      </w:r>
      <w:r>
        <w:rPr>
          <w:rFonts w:hint="eastAsia" w:ascii="仿宋" w:hAnsi="仿宋" w:eastAsia="仿宋"/>
          <w:sz w:val="28"/>
          <w:szCs w:val="28"/>
          <w:highlight w:val="none"/>
        </w:rPr>
        <w:t>）、“信用江苏”（</w:t>
      </w:r>
      <w:r>
        <w:rPr>
          <w:rFonts w:ascii="仿宋" w:hAnsi="仿宋" w:eastAsia="仿宋"/>
          <w:sz w:val="28"/>
          <w:szCs w:val="28"/>
          <w:highlight w:val="none"/>
        </w:rPr>
        <w:t>www.jscredit.cn/index.htm</w:t>
      </w:r>
      <w:r>
        <w:rPr>
          <w:rFonts w:hint="eastAsia" w:ascii="仿宋" w:hAnsi="仿宋" w:eastAsia="仿宋"/>
          <w:sz w:val="28"/>
          <w:szCs w:val="28"/>
          <w:highlight w:val="none"/>
        </w:rPr>
        <w:t>）网站列入失信被执行人、重大税收违法案件当事人名单、政府采购严重违法失信行为记录名单。</w:t>
      </w:r>
    </w:p>
    <w:p w14:paraId="037CFD42">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p>
    <w:p w14:paraId="2786C1F4">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p>
    <w:p w14:paraId="67618019">
      <w:pPr>
        <w:ind w:firstLine="560" w:firstLineChars="20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p>
    <w:p w14:paraId="6EEBB821">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（六）项目实施所必须的许可资质证明材料。</w:t>
      </w:r>
    </w:p>
    <w:p w14:paraId="138F6BC7">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（七）法定代表人身份证明及身份证复印件</w:t>
      </w:r>
    </w:p>
    <w:p w14:paraId="58BEF22C">
      <w:pPr>
        <w:spacing w:before="50" w:afterLines="50"/>
        <w:ind w:firstLine="560" w:firstLineChars="200"/>
        <w:jc w:val="left"/>
        <w:rPr>
          <w:rFonts w:ascii="仿宋" w:hAnsi="仿宋" w:eastAsia="仿宋"/>
          <w:sz w:val="28"/>
          <w:szCs w:val="28"/>
          <w:highlight w:val="none"/>
        </w:rPr>
      </w:pPr>
      <w:r>
        <w:rPr>
          <w:rFonts w:hint="eastAsia" w:ascii="仿宋" w:hAnsi="仿宋" w:eastAsia="仿宋"/>
          <w:sz w:val="28"/>
          <w:szCs w:val="28"/>
          <w:highlight w:val="none"/>
        </w:rPr>
        <w:t>（八）法定代表人</w:t>
      </w:r>
      <w:r>
        <w:rPr>
          <w:rFonts w:ascii="仿宋" w:hAnsi="仿宋" w:eastAsia="仿宋"/>
          <w:sz w:val="28"/>
          <w:szCs w:val="28"/>
          <w:highlight w:val="none"/>
        </w:rPr>
        <w:t>授权</w:t>
      </w:r>
      <w:r>
        <w:rPr>
          <w:rFonts w:hint="eastAsia" w:ascii="仿宋" w:hAnsi="仿宋" w:eastAsia="仿宋"/>
          <w:sz w:val="28"/>
          <w:szCs w:val="28"/>
          <w:highlight w:val="none"/>
        </w:rPr>
        <w:t>委托</w:t>
      </w:r>
      <w:r>
        <w:rPr>
          <w:rFonts w:ascii="仿宋" w:hAnsi="仿宋" w:eastAsia="仿宋"/>
          <w:sz w:val="28"/>
          <w:szCs w:val="28"/>
          <w:highlight w:val="none"/>
        </w:rPr>
        <w:t>书</w:t>
      </w:r>
      <w:r>
        <w:rPr>
          <w:rFonts w:hint="eastAsia" w:ascii="仿宋" w:hAnsi="仿宋" w:eastAsia="仿宋"/>
          <w:sz w:val="28"/>
          <w:szCs w:val="28"/>
          <w:highlight w:val="none"/>
        </w:rPr>
        <w:t>。</w:t>
      </w:r>
      <w:r>
        <w:rPr>
          <w:rFonts w:hint="eastAsia" w:ascii="仿宋" w:hAnsi="仿宋" w:eastAsia="仿宋"/>
          <w:color w:val="FF0000"/>
          <w:sz w:val="28"/>
          <w:szCs w:val="28"/>
          <w:highlight w:val="none"/>
        </w:rPr>
        <w:t>（法定代表人参加谈判采购活动的，无需提供）</w:t>
      </w:r>
    </w:p>
    <w:p w14:paraId="27C694EF">
      <w:pPr>
        <w:spacing w:before="50" w:afterLines="50"/>
        <w:ind w:firstLine="560" w:firstLineChars="200"/>
        <w:jc w:val="left"/>
        <w:rPr>
          <w:rFonts w:ascii="仿宋" w:hAnsi="仿宋" w:eastAsia="仿宋"/>
          <w:sz w:val="28"/>
          <w:szCs w:val="28"/>
          <w:highlight w:val="none"/>
        </w:rPr>
      </w:pPr>
      <w:r>
        <w:rPr>
          <w:rFonts w:ascii="仿宋" w:hAnsi="仿宋" w:eastAsia="仿宋"/>
          <w:sz w:val="28"/>
          <w:szCs w:val="28"/>
          <w:highlight w:val="none"/>
        </w:rPr>
        <w:br w:type="page"/>
      </w:r>
    </w:p>
    <w:p w14:paraId="0211D3DD">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法定代表人授权委托书</w:t>
      </w:r>
    </w:p>
    <w:p w14:paraId="73D914F4">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本授权书声明：___</w:t>
      </w:r>
      <w:r>
        <w:rPr>
          <w:rFonts w:hint="eastAsia" w:ascii="仿宋" w:hAnsi="仿宋" w:eastAsia="仿宋"/>
          <w:color w:val="auto"/>
          <w:sz w:val="28"/>
          <w:szCs w:val="28"/>
          <w:highlight w:val="none"/>
          <w:u w:val="single"/>
        </w:rPr>
        <w:t>___      ____</w:t>
      </w:r>
      <w:r>
        <w:rPr>
          <w:rFonts w:hint="eastAsia" w:ascii="仿宋" w:hAnsi="仿宋" w:eastAsia="仿宋"/>
          <w:color w:val="auto"/>
          <w:sz w:val="28"/>
          <w:szCs w:val="28"/>
          <w:highlight w:val="none"/>
        </w:rPr>
        <w:t>__（供应商名称）授权________________（代理人的姓名）为我方就项目名称：____________项目编号:____________采购活动的合法代理人，以本公司名义全权处理一切与该项目采购有关的事务。</w:t>
      </w:r>
    </w:p>
    <w:p w14:paraId="14B97FDA">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3CDE20FE">
      <w:pPr>
        <w:pStyle w:val="36"/>
        <w:spacing w:line="500" w:lineRule="exact"/>
        <w:ind w:firstLine="480"/>
        <w:rPr>
          <w:rFonts w:ascii="仿宋" w:hAnsi="仿宋" w:eastAsia="仿宋"/>
          <w:color w:val="auto"/>
          <w:sz w:val="28"/>
          <w:szCs w:val="28"/>
          <w:highlight w:val="none"/>
        </w:rPr>
      </w:pPr>
    </w:p>
    <w:p w14:paraId="65C70BC2">
      <w:pPr>
        <w:pStyle w:val="36"/>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3C49B444">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62A22A08">
      <w:pPr>
        <w:pStyle w:val="36"/>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3D9A1913">
      <w:pPr>
        <w:pStyle w:val="36"/>
        <w:spacing w:line="500" w:lineRule="exact"/>
        <w:ind w:firstLine="480"/>
        <w:rPr>
          <w:rFonts w:ascii="仿宋" w:hAnsi="仿宋" w:eastAsia="仿宋"/>
          <w:color w:val="auto"/>
          <w:sz w:val="28"/>
          <w:szCs w:val="28"/>
          <w:highlight w:val="none"/>
        </w:rPr>
      </w:pPr>
    </w:p>
    <w:p w14:paraId="5515CB8A">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5F6C04CC">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35EC521E">
      <w:pPr>
        <w:pStyle w:val="36"/>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4CA0ABB5">
      <w:pPr>
        <w:pStyle w:val="36"/>
        <w:spacing w:line="500" w:lineRule="exact"/>
        <w:ind w:firstLine="480"/>
        <w:rPr>
          <w:rFonts w:ascii="仿宋" w:hAnsi="仿宋" w:eastAsia="仿宋"/>
          <w:color w:val="auto"/>
          <w:sz w:val="28"/>
          <w:szCs w:val="28"/>
          <w:highlight w:val="none"/>
        </w:rPr>
      </w:pPr>
    </w:p>
    <w:p w14:paraId="25BB1268">
      <w:pPr>
        <w:pStyle w:val="36"/>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59C76AFF">
      <w:pPr>
        <w:pStyle w:val="36"/>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3ED4FD4C">
      <w:pPr>
        <w:pStyle w:val="36"/>
        <w:spacing w:line="500" w:lineRule="exact"/>
        <w:ind w:firstLine="480"/>
        <w:rPr>
          <w:rFonts w:ascii="仿宋" w:hAnsi="仿宋" w:eastAsia="仿宋"/>
          <w:color w:val="auto"/>
          <w:sz w:val="28"/>
          <w:szCs w:val="28"/>
          <w:highlight w:val="none"/>
        </w:rPr>
      </w:pPr>
      <w:bookmarkStart w:id="50" w:name="_格式3__银行出具的资信证明"/>
      <w:bookmarkEnd w:id="50"/>
      <w:bookmarkStart w:id="51" w:name="_Hlt26955070"/>
      <w:bookmarkEnd w:id="51"/>
      <w:bookmarkStart w:id="52" w:name="_Hlt26671380"/>
      <w:bookmarkEnd w:id="52"/>
    </w:p>
    <w:p w14:paraId="7E251F4E">
      <w:pPr>
        <w:pStyle w:val="5"/>
        <w:spacing w:line="500" w:lineRule="exact"/>
        <w:ind w:firstLine="560"/>
        <w:rPr>
          <w:rFonts w:ascii="仿宋" w:hAnsi="仿宋" w:eastAsia="仿宋"/>
          <w:sz w:val="28"/>
          <w:szCs w:val="28"/>
          <w:highlight w:val="none"/>
        </w:rPr>
      </w:pPr>
      <w:r>
        <w:rPr>
          <w:rFonts w:hint="eastAsia" w:ascii="仿宋" w:hAnsi="仿宋" w:eastAsia="仿宋"/>
          <w:sz w:val="28"/>
          <w:szCs w:val="28"/>
          <w:highlight w:val="none"/>
        </w:rPr>
        <w:t>代理人身份证复印件</w:t>
      </w:r>
    </w:p>
    <w:p w14:paraId="42790896">
      <w:pPr>
        <w:spacing w:before="50" w:afterLines="50" w:line="500" w:lineRule="exact"/>
        <w:ind w:firstLine="480"/>
        <w:jc w:val="left"/>
        <w:rPr>
          <w:rFonts w:ascii="仿宋" w:hAnsi="仿宋" w:eastAsia="仿宋"/>
          <w:bCs/>
          <w:sz w:val="28"/>
          <w:szCs w:val="28"/>
          <w:highlight w:val="none"/>
        </w:rPr>
      </w:pPr>
    </w:p>
    <w:p w14:paraId="1A07AD2D">
      <w:pPr>
        <w:spacing w:before="50" w:afterLines="50" w:line="500" w:lineRule="exact"/>
        <w:ind w:firstLine="480"/>
        <w:jc w:val="left"/>
        <w:rPr>
          <w:rFonts w:ascii="仿宋" w:hAnsi="仿宋" w:eastAsia="仿宋" w:cs="Arial"/>
          <w:sz w:val="28"/>
          <w:szCs w:val="28"/>
          <w:highlight w:val="none"/>
        </w:rPr>
      </w:pPr>
      <w:r>
        <w:rPr>
          <w:rFonts w:hint="eastAsia" w:ascii="仿宋" w:hAnsi="仿宋" w:eastAsia="仿宋"/>
          <w:sz w:val="28"/>
          <w:szCs w:val="28"/>
          <w:highlight w:val="none"/>
          <w:lang w:val="en-US" w:eastAsia="zh-CN"/>
        </w:rPr>
        <w:t>注：</w:t>
      </w:r>
      <w:r>
        <w:rPr>
          <w:rFonts w:hint="eastAsia" w:ascii="仿宋" w:hAnsi="仿宋" w:eastAsia="仿宋"/>
          <w:sz w:val="28"/>
          <w:szCs w:val="28"/>
          <w:highlight w:val="none"/>
        </w:rPr>
        <w:t>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sz w:val="28"/>
          <w:szCs w:val="28"/>
          <w:highlight w:val="none"/>
        </w:rPr>
        <w:t>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r>
        <w:rPr>
          <w:rFonts w:ascii="仿宋" w:hAnsi="仿宋" w:eastAsia="仿宋"/>
          <w:bCs/>
          <w:sz w:val="28"/>
          <w:szCs w:val="28"/>
          <w:highlight w:val="none"/>
        </w:rPr>
        <w:br w:type="page"/>
      </w:r>
      <w:r>
        <w:rPr>
          <w:rFonts w:hint="eastAsia" w:ascii="仿宋" w:hAnsi="仿宋" w:eastAsia="仿宋"/>
          <w:bCs/>
          <w:sz w:val="28"/>
          <w:szCs w:val="28"/>
          <w:highlight w:val="none"/>
        </w:rPr>
        <w:t>（八）竞争性</w:t>
      </w:r>
      <w:r>
        <w:rPr>
          <w:rFonts w:hint="eastAsia" w:ascii="仿宋" w:hAnsi="仿宋" w:eastAsia="仿宋" w:cs="Arial"/>
          <w:sz w:val="28"/>
          <w:szCs w:val="28"/>
          <w:highlight w:val="none"/>
        </w:rPr>
        <w:t>谈判响应函。</w:t>
      </w:r>
    </w:p>
    <w:p w14:paraId="5D06A228">
      <w:pPr>
        <w:spacing w:before="50" w:afterLines="50" w:line="500" w:lineRule="exact"/>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竞争性谈判响应函</w:t>
      </w:r>
    </w:p>
    <w:p w14:paraId="76C1D75A">
      <w:pPr>
        <w:pStyle w:val="36"/>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lang w:eastAsia="zh-CN"/>
        </w:rPr>
        <w:t>如皋市高级技工学校</w:t>
      </w:r>
    </w:p>
    <w:p w14:paraId="519EF2EB">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s="Times New Roman"/>
          <w:color w:val="auto"/>
          <w:sz w:val="28"/>
          <w:szCs w:val="28"/>
          <w:highlight w:val="none"/>
          <w:u w:val="single"/>
          <w:lang w:val="en-US" w:eastAsia="zh-CN"/>
        </w:rPr>
        <w:t>如皋市高级技工学校钳工职业技能鉴定设备</w:t>
      </w:r>
      <w:r>
        <w:rPr>
          <w:rFonts w:hint="eastAsia" w:ascii="仿宋" w:hAnsi="仿宋" w:eastAsia="仿宋"/>
          <w:color w:val="auto"/>
          <w:sz w:val="28"/>
          <w:szCs w:val="28"/>
          <w:highlight w:val="none"/>
        </w:rPr>
        <w:t>（项目编号：</w:t>
      </w:r>
      <w:r>
        <w:rPr>
          <w:rFonts w:hint="eastAsia" w:ascii="仿宋" w:hAnsi="仿宋" w:eastAsia="仿宋" w:cs="Times New Roman"/>
          <w:color w:val="auto"/>
          <w:sz w:val="28"/>
          <w:szCs w:val="28"/>
          <w:highlight w:val="none"/>
          <w:u w:val="single"/>
          <w:lang w:val="en-US" w:eastAsia="zh-CN"/>
        </w:rPr>
        <w:t xml:space="preserve"> </w:t>
      </w:r>
      <w:r>
        <w:rPr>
          <w:rFonts w:hint="eastAsia" w:ascii="仿宋" w:hAnsi="仿宋" w:eastAsia="仿宋"/>
          <w:color w:val="auto"/>
          <w:sz w:val="28"/>
          <w:szCs w:val="28"/>
          <w:highlight w:val="none"/>
        </w:rPr>
        <w:t>）竞争性谈判文件，正式授权下述签字人_________ (姓名和职务)代表我方______________（供应商的名称），全权处理本次项目谈判采购的有关事宜。</w:t>
      </w:r>
    </w:p>
    <w:p w14:paraId="68630F6F">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4FB4B270">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1.按谈判文件规定的各项要求，向买方提供所需货物、服务。</w:t>
      </w:r>
    </w:p>
    <w:p w14:paraId="7ECB4E5A">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2.我们已详细审核全部谈判文件及其有效补充文件，我们知道必须放弃提出含糊不清或误解问题的权利。</w:t>
      </w:r>
    </w:p>
    <w:p w14:paraId="66B028ED">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3.我们同意从规定的响应文件接收截止时间起遵循本响应文件，并在规定的谈判有效期期满之前均具有约束力。</w:t>
      </w:r>
    </w:p>
    <w:p w14:paraId="7E1FD1E3">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4.同意向贵方提供贵方可能另外要求的与竞争性谈判活动有关的任何证据或资料，并保证我方已提供和将要提供的文件是真实的、准确的。</w:t>
      </w:r>
    </w:p>
    <w:p w14:paraId="14F9CE43">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47305FBB">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6.我方将根据竞争性谈判文件的规定，严格履行合同的责任和义务，并保证在谈判文件规定的时间完成项目。</w:t>
      </w:r>
    </w:p>
    <w:p w14:paraId="2383AD8F">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7.遵守竞争性谈判文件中要求的收费项目和标准。</w:t>
      </w:r>
    </w:p>
    <w:p w14:paraId="5764430D">
      <w:pPr>
        <w:pStyle w:val="36"/>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8.与本次竞争性谈判活动有关的正式通讯地址为：</w:t>
      </w:r>
    </w:p>
    <w:p w14:paraId="69EBD4EC">
      <w:pPr>
        <w:pStyle w:val="3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6FA686BC">
      <w:pPr>
        <w:pStyle w:val="3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5686173C">
      <w:pPr>
        <w:pStyle w:val="3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6AD947B3">
      <w:pPr>
        <w:pStyle w:val="3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65B4B587">
      <w:pPr>
        <w:pStyle w:val="3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639C5F8F">
      <w:pPr>
        <w:spacing w:before="50" w:afterLines="50" w:line="500" w:lineRule="exact"/>
        <w:ind w:firstLine="480"/>
        <w:jc w:val="left"/>
        <w:rPr>
          <w:rFonts w:ascii="仿宋" w:hAnsi="仿宋" w:eastAsia="仿宋"/>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（九）</w:t>
      </w:r>
      <w:r>
        <w:rPr>
          <w:rFonts w:hint="eastAsia" w:ascii="仿宋" w:hAnsi="仿宋" w:eastAsia="仿宋"/>
          <w:sz w:val="28"/>
          <w:szCs w:val="28"/>
          <w:highlight w:val="none"/>
        </w:rPr>
        <w:t>其他资格证明材料</w:t>
      </w:r>
    </w:p>
    <w:p w14:paraId="39CCBCFB">
      <w:pPr>
        <w:spacing w:before="50" w:afterLines="50" w:line="500" w:lineRule="exact"/>
        <w:ind w:firstLine="480"/>
        <w:jc w:val="left"/>
        <w:rPr>
          <w:rFonts w:ascii="仿宋" w:hAnsi="仿宋" w:eastAsia="仿宋"/>
          <w:b/>
          <w:bCs/>
          <w:sz w:val="28"/>
          <w:szCs w:val="28"/>
          <w:highlight w:val="none"/>
        </w:rPr>
      </w:pPr>
    </w:p>
    <w:p w14:paraId="5E4AA698">
      <w:pPr>
        <w:spacing w:line="500" w:lineRule="exact"/>
        <w:ind w:firstLine="562" w:firstLineChars="200"/>
        <w:rPr>
          <w:rFonts w:ascii="仿宋" w:hAnsi="仿宋" w:eastAsia="仿宋"/>
          <w:b/>
          <w:sz w:val="28"/>
          <w:szCs w:val="28"/>
          <w:highlight w:val="none"/>
        </w:rPr>
      </w:pPr>
      <w:r>
        <w:rPr>
          <w:rFonts w:hint="eastAsia" w:ascii="仿宋" w:hAnsi="仿宋" w:eastAsia="仿宋"/>
          <w:b/>
          <w:sz w:val="28"/>
          <w:szCs w:val="28"/>
          <w:highlight w:val="none"/>
        </w:rPr>
        <w:t>注意：以上资格证明文件中要求加盖公章的，必须加盖公章；如供应商组成联合体参加谈判，则联合体各方均须加盖公章，否则视为无效谈判响应文件。</w:t>
      </w:r>
    </w:p>
    <w:p w14:paraId="072B928A">
      <w:pPr>
        <w:spacing w:line="500" w:lineRule="exact"/>
        <w:ind w:firstLine="560" w:firstLineChars="200"/>
        <w:rPr>
          <w:rFonts w:ascii="仿宋" w:hAnsi="仿宋" w:eastAsia="仿宋"/>
          <w:sz w:val="28"/>
          <w:szCs w:val="28"/>
          <w:highlight w:val="none"/>
        </w:rPr>
      </w:pPr>
    </w:p>
    <w:p w14:paraId="24893ABB">
      <w:pPr>
        <w:spacing w:line="500" w:lineRule="exact"/>
        <w:ind w:firstLine="560" w:firstLineChars="200"/>
        <w:rPr>
          <w:rFonts w:ascii="仿宋" w:hAnsi="仿宋" w:eastAsia="仿宋"/>
          <w:sz w:val="28"/>
          <w:szCs w:val="28"/>
          <w:highlight w:val="none"/>
        </w:rPr>
      </w:pPr>
    </w:p>
    <w:p w14:paraId="4E69F8B2">
      <w:pPr>
        <w:spacing w:line="500" w:lineRule="exact"/>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二、商务技术</w:t>
      </w:r>
      <w:r>
        <w:rPr>
          <w:rFonts w:hint="eastAsia" w:ascii="黑体" w:hAnsi="黑体" w:eastAsia="黑体"/>
          <w:bCs/>
          <w:sz w:val="28"/>
          <w:szCs w:val="28"/>
          <w:highlight w:val="none"/>
        </w:rPr>
        <w:t>文件</w:t>
      </w:r>
    </w:p>
    <w:p w14:paraId="37601265">
      <w:pPr>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（一）技术部分正负偏离表</w:t>
      </w:r>
    </w:p>
    <w:p w14:paraId="33D96E7B">
      <w:pPr>
        <w:ind w:firstLine="641"/>
        <w:jc w:val="center"/>
        <w:rPr>
          <w:rFonts w:hint="eastAsia" w:ascii="方正小标宋简体" w:hAnsi="宋体" w:eastAsia="方正小标宋简体" w:cs="Times New Roman"/>
          <w:color w:val="000000"/>
          <w:sz w:val="32"/>
          <w:szCs w:val="32"/>
          <w:highlight w:val="none"/>
        </w:rPr>
      </w:pPr>
      <w:r>
        <w:rPr>
          <w:rFonts w:hint="eastAsia" w:ascii="方正小标宋简体" w:hAnsi="宋体" w:eastAsia="方正小标宋简体" w:cs="Times New Roman"/>
          <w:color w:val="000000"/>
          <w:sz w:val="32"/>
          <w:szCs w:val="32"/>
          <w:highlight w:val="none"/>
        </w:rPr>
        <w:t>技术部分正负偏离表</w:t>
      </w:r>
    </w:p>
    <w:p w14:paraId="11EF41CD">
      <w:pPr>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供应商名称（加盖公章）：       </w:t>
      </w:r>
    </w:p>
    <w:tbl>
      <w:tblPr>
        <w:tblStyle w:val="19"/>
        <w:tblW w:w="5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811"/>
        <w:gridCol w:w="7030"/>
        <w:gridCol w:w="1086"/>
        <w:gridCol w:w="1418"/>
        <w:gridCol w:w="533"/>
      </w:tblGrid>
      <w:tr w14:paraId="70D7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0" w:type="dxa"/>
            <w:tcBorders>
              <w:top w:val="single" w:color="auto" w:sz="4" w:space="0"/>
              <w:left w:val="single" w:color="auto" w:sz="4" w:space="0"/>
              <w:bottom w:val="single" w:color="auto" w:sz="4" w:space="0"/>
              <w:right w:val="single" w:color="auto" w:sz="4" w:space="0"/>
            </w:tcBorders>
            <w:noWrap w:val="0"/>
            <w:vAlign w:val="center"/>
          </w:tcPr>
          <w:p w14:paraId="3432D1FD">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序号</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1AD2B333">
            <w:pPr>
              <w:jc w:val="center"/>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技术指标名称</w:t>
            </w:r>
          </w:p>
        </w:tc>
        <w:tc>
          <w:tcPr>
            <w:tcW w:w="7030" w:type="dxa"/>
            <w:tcBorders>
              <w:top w:val="single" w:color="auto" w:sz="4" w:space="0"/>
              <w:left w:val="single" w:color="auto" w:sz="4" w:space="0"/>
              <w:bottom w:val="single" w:color="auto" w:sz="4" w:space="0"/>
              <w:right w:val="single" w:color="auto" w:sz="4" w:space="0"/>
            </w:tcBorders>
            <w:noWrap w:val="0"/>
            <w:vAlign w:val="center"/>
          </w:tcPr>
          <w:p w14:paraId="44237DEC">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竞争性谈判文件规定要求</w:t>
            </w:r>
          </w:p>
        </w:tc>
        <w:tc>
          <w:tcPr>
            <w:tcW w:w="1086" w:type="dxa"/>
            <w:tcBorders>
              <w:top w:val="single" w:color="auto" w:sz="4" w:space="0"/>
              <w:left w:val="single" w:color="auto" w:sz="4" w:space="0"/>
              <w:bottom w:val="single" w:color="auto" w:sz="4" w:space="0"/>
              <w:right w:val="single" w:color="auto" w:sz="4" w:space="0"/>
            </w:tcBorders>
            <w:noWrap w:val="0"/>
            <w:vAlign w:val="center"/>
          </w:tcPr>
          <w:p w14:paraId="6E040413">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供应商响应具体情况</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6843C67B">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结论（正偏离、符合或负偏离）</w:t>
            </w:r>
          </w:p>
        </w:tc>
        <w:tc>
          <w:tcPr>
            <w:tcW w:w="533" w:type="dxa"/>
            <w:tcBorders>
              <w:top w:val="single" w:color="auto" w:sz="4" w:space="0"/>
              <w:left w:val="single" w:color="auto" w:sz="4" w:space="0"/>
              <w:bottom w:val="single" w:color="auto" w:sz="4" w:space="0"/>
              <w:right w:val="single" w:color="auto" w:sz="4" w:space="0"/>
            </w:tcBorders>
            <w:noWrap w:val="0"/>
            <w:vAlign w:val="center"/>
          </w:tcPr>
          <w:p w14:paraId="35A72562">
            <w:pPr>
              <w:jc w:val="center"/>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备注</w:t>
            </w:r>
          </w:p>
        </w:tc>
      </w:tr>
      <w:tr w14:paraId="440D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0" w:type="dxa"/>
            <w:vMerge w:val="restart"/>
            <w:tcBorders>
              <w:top w:val="single" w:color="auto" w:sz="4" w:space="0"/>
              <w:left w:val="single" w:color="auto" w:sz="4" w:space="0"/>
              <w:right w:val="single" w:color="auto" w:sz="4" w:space="0"/>
            </w:tcBorders>
            <w:noWrap w:val="0"/>
            <w:vAlign w:val="center"/>
          </w:tcPr>
          <w:p w14:paraId="2D442B9E">
            <w:pPr>
              <w:jc w:val="center"/>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1</w:t>
            </w:r>
          </w:p>
        </w:tc>
        <w:tc>
          <w:tcPr>
            <w:tcW w:w="811" w:type="dxa"/>
            <w:vMerge w:val="restart"/>
            <w:tcBorders>
              <w:top w:val="single" w:color="auto" w:sz="4" w:space="0"/>
              <w:left w:val="single" w:color="auto" w:sz="4" w:space="0"/>
              <w:right w:val="single" w:color="auto" w:sz="4" w:space="0"/>
            </w:tcBorders>
            <w:noWrap w:val="0"/>
            <w:vAlign w:val="center"/>
          </w:tcPr>
          <w:p w14:paraId="64326EDB">
            <w:pPr>
              <w:keepNext w:val="0"/>
              <w:keepLines w:val="0"/>
              <w:pageBreakBefore w:val="0"/>
              <w:widowControl w:val="0"/>
              <w:kinsoku/>
              <w:wordWrap/>
              <w:overflowPunct/>
              <w:topLinePunct w:val="0"/>
              <w:autoSpaceDE/>
              <w:autoSpaceDN/>
              <w:bidi w:val="0"/>
              <w:snapToGrid/>
              <w:spacing w:line="240" w:lineRule="exact"/>
              <w:jc w:val="center"/>
              <w:textAlignment w:val="auto"/>
              <w:rPr>
                <w:rFonts w:hint="eastAsia" w:ascii="仿宋" w:hAnsi="仿宋" w:eastAsia="仿宋" w:cs="Times New Roman"/>
                <w:color w:val="000000"/>
                <w:sz w:val="21"/>
                <w:szCs w:val="21"/>
                <w:highlight w:val="none"/>
                <w:lang w:val="en-US" w:eastAsia="zh-CN"/>
              </w:rPr>
            </w:pPr>
            <w:r>
              <w:rPr>
                <w:rFonts w:hint="eastAsia" w:ascii="仿宋" w:hAnsi="仿宋" w:eastAsia="仿宋" w:cs="仿宋"/>
                <w:kern w:val="0"/>
                <w:sz w:val="21"/>
                <w:szCs w:val="21"/>
                <w:highlight w:val="none"/>
              </w:rPr>
              <w:t>工业机械传动系统装调平台</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23597A5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一、产品总体要求</w:t>
            </w:r>
          </w:p>
          <w:p w14:paraId="0E08F85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1.系统主要由</w:t>
            </w:r>
            <w:r>
              <w:rPr>
                <w:rFonts w:hint="eastAsia" w:ascii="仿宋" w:hAnsi="仿宋" w:eastAsia="仿宋" w:cs="仿宋"/>
                <w:sz w:val="21"/>
                <w:szCs w:val="21"/>
                <w:highlight w:val="none"/>
                <w:lang w:val="en-US" w:eastAsia="zh-CN"/>
              </w:rPr>
              <w:t>装调平</w:t>
            </w:r>
            <w:r>
              <w:rPr>
                <w:rFonts w:hint="eastAsia" w:ascii="仿宋" w:hAnsi="仿宋" w:eastAsia="仿宋" w:cs="仿宋"/>
                <w:sz w:val="21"/>
                <w:szCs w:val="21"/>
                <w:highlight w:val="none"/>
              </w:rPr>
              <w:t>台、电控箱、模块式实训组件、配套工具及量具等组成，可完成带传动、链传动、齿轮传动、蜗轮蜗杆传动等的安装调整训练，使学生熟悉工业机械传动的组成，掌握现代工量具的使用及工业机械传动系统的装配检测与调整，培养工业机械设备的安装、维护、维修所需的高技能技术型人才。</w:t>
            </w:r>
          </w:p>
          <w:p w14:paraId="731A3AC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.具有漏电保护、短路保护、整体实训对象部件运行的防护联锁保护、接地保护等功能，对设备及操作者进行有效保护。</w:t>
            </w:r>
          </w:p>
          <w:p w14:paraId="590DABC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.为保证后期的维护、</w:t>
            </w:r>
            <w:r>
              <w:rPr>
                <w:rFonts w:hint="eastAsia" w:ascii="仿宋" w:hAnsi="仿宋" w:eastAsia="仿宋" w:cs="仿宋"/>
                <w:sz w:val="21"/>
                <w:szCs w:val="21"/>
                <w:highlight w:val="none"/>
                <w:lang w:val="zh-CN"/>
              </w:rPr>
              <w:t>实训教学稳定</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zh-CN"/>
              </w:rPr>
              <w:t>提供高效的报修服务和需求响应，设备融入互联网+设备运维系统，具有功能要求如下：</w:t>
            </w:r>
          </w:p>
          <w:p w14:paraId="207DFA8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（1）服务端分为PC机和手机APP两个版本，使用更加多元化、灵活化，管理人员使用PC版，更加高效快速。</w:t>
            </w:r>
          </w:p>
          <w:p w14:paraId="3CE0A11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lang w:val="zh-CN"/>
              </w:rPr>
              <w:t>（2）设备信息包括产品型号、名称、出厂日期、过保日期、出厂报告、设备装箱单、实训指导书等。</w:t>
            </w:r>
            <w:r>
              <w:rPr>
                <w:rFonts w:hint="eastAsia" w:ascii="仿宋" w:hAnsi="仿宋" w:eastAsia="仿宋" w:cs="仿宋"/>
                <w:b/>
                <w:bCs/>
                <w:sz w:val="21"/>
                <w:szCs w:val="21"/>
                <w:highlight w:val="none"/>
                <w:lang w:val="zh-CN"/>
              </w:rPr>
              <w:t>响应时提供平台功能截图。</w:t>
            </w:r>
          </w:p>
          <w:p w14:paraId="5B4D17A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lang w:val="zh-CN"/>
              </w:rPr>
              <w:t>（3）手机扫描后就可以快速提交服务需求，能够通过文字、现场照片和视频精准描述设备故障，并且能自动显示设备所在位置，让保修更加精准。</w:t>
            </w:r>
            <w:r>
              <w:rPr>
                <w:rFonts w:hint="eastAsia" w:ascii="仿宋" w:hAnsi="仿宋" w:eastAsia="仿宋" w:cs="仿宋"/>
                <w:b/>
                <w:bCs/>
                <w:sz w:val="21"/>
                <w:szCs w:val="21"/>
                <w:highlight w:val="none"/>
                <w:lang w:val="zh-CN"/>
              </w:rPr>
              <w:t>响应时提供平台功能截图。</w:t>
            </w:r>
          </w:p>
          <w:p w14:paraId="25D27A1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zh-CN"/>
              </w:rPr>
              <w:t>（4）客户端发送服务情况后，服务端自动生成服务工单，系统自动发送的服务短信内容包括服务人员姓名、联系方式、工单进度链接；设备信息和客户每次的服务需求都应永久存储，只需要用手机扫描就可以快速查看。</w:t>
            </w:r>
          </w:p>
          <w:p w14:paraId="1E37F18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.为保证后期的</w:t>
            </w:r>
            <w:r>
              <w:rPr>
                <w:rFonts w:hint="eastAsia" w:ascii="仿宋" w:hAnsi="仿宋" w:eastAsia="仿宋" w:cs="仿宋"/>
                <w:sz w:val="21"/>
                <w:szCs w:val="21"/>
                <w:highlight w:val="none"/>
                <w:lang w:val="zh-CN"/>
              </w:rPr>
              <w:t>实训教学</w:t>
            </w:r>
            <w:r>
              <w:rPr>
                <w:rFonts w:hint="eastAsia" w:ascii="仿宋" w:hAnsi="仿宋" w:eastAsia="仿宋" w:cs="仿宋"/>
                <w:sz w:val="21"/>
                <w:szCs w:val="21"/>
                <w:highlight w:val="none"/>
              </w:rPr>
              <w:t>能够顺利进行，及时响应教师在实验实训过程中遇到的各种问题</w:t>
            </w:r>
            <w:r>
              <w:rPr>
                <w:rFonts w:hint="eastAsia" w:ascii="仿宋" w:hAnsi="仿宋" w:eastAsia="仿宋" w:cs="仿宋"/>
                <w:sz w:val="21"/>
                <w:szCs w:val="21"/>
                <w:highlight w:val="none"/>
                <w:lang w:val="zh-CN"/>
              </w:rPr>
              <w:t>，设备融入</w:t>
            </w:r>
            <w:r>
              <w:rPr>
                <w:rFonts w:hint="eastAsia" w:ascii="仿宋" w:hAnsi="仿宋" w:eastAsia="仿宋" w:cs="仿宋"/>
                <w:sz w:val="21"/>
                <w:szCs w:val="21"/>
                <w:highlight w:val="none"/>
              </w:rPr>
              <w:t>在线服务平台</w:t>
            </w: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rPr>
              <w:t>及时快速解决突发情况，</w:t>
            </w:r>
            <w:r>
              <w:rPr>
                <w:rFonts w:hint="eastAsia" w:ascii="仿宋" w:hAnsi="仿宋" w:eastAsia="仿宋" w:cs="仿宋"/>
                <w:sz w:val="21"/>
                <w:szCs w:val="21"/>
                <w:highlight w:val="none"/>
                <w:lang w:val="zh-CN"/>
              </w:rPr>
              <w:t>具有功能要求如下：</w:t>
            </w:r>
          </w:p>
          <w:p w14:paraId="751B0DB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（1）基于第三方开发，平台集专业建设、技术即时交流、课程设计、问题搜索、问题发帖、售后服务、24小时智能机器人等功能于一身，支持PC、Android、IOS、HarmonyOS多平台互动。</w:t>
            </w:r>
          </w:p>
          <w:p w14:paraId="38F64A3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（2）平台有教授、博士、行业高级技师、在校教师、企业高级工程师、一线技术员等长期驻扎，能够全方位服务不同人群。</w:t>
            </w:r>
          </w:p>
          <w:p w14:paraId="0B6525A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rPr>
              <w:t>（3）平台可设置日程、投票、知识充电站、重要通知等功能，通知支持礼物、拍摄、文件等内容。</w:t>
            </w:r>
            <w:r>
              <w:rPr>
                <w:rFonts w:hint="eastAsia" w:ascii="仿宋" w:hAnsi="仿宋" w:eastAsia="仿宋" w:cs="仿宋"/>
                <w:b/>
                <w:bCs/>
                <w:sz w:val="21"/>
                <w:szCs w:val="21"/>
                <w:highlight w:val="none"/>
                <w:lang w:eastAsia="zh-CN"/>
              </w:rPr>
              <w:t>响应</w:t>
            </w:r>
            <w:r>
              <w:rPr>
                <w:rFonts w:hint="eastAsia" w:ascii="仿宋" w:hAnsi="仿宋" w:eastAsia="仿宋" w:cs="仿宋"/>
                <w:b/>
                <w:bCs/>
                <w:sz w:val="21"/>
                <w:szCs w:val="21"/>
                <w:highlight w:val="none"/>
              </w:rPr>
              <w:t>时提供平台功能截图。</w:t>
            </w:r>
          </w:p>
          <w:p w14:paraId="5CB4C94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rPr>
              <w:t>（4）平台提供专业建设板块、课程设计板块、教学资源板块、师资培训板块、技术交流板块、技能竞赛板块、售后服务板块等。</w:t>
            </w:r>
            <w:r>
              <w:rPr>
                <w:rFonts w:hint="eastAsia" w:ascii="仿宋" w:hAnsi="仿宋" w:eastAsia="仿宋" w:cs="仿宋"/>
                <w:b/>
                <w:bCs/>
                <w:sz w:val="21"/>
                <w:szCs w:val="21"/>
                <w:highlight w:val="none"/>
                <w:lang w:eastAsia="zh-CN"/>
              </w:rPr>
              <w:t>响应</w:t>
            </w:r>
            <w:r>
              <w:rPr>
                <w:rFonts w:hint="eastAsia" w:ascii="仿宋" w:hAnsi="仿宋" w:eastAsia="仿宋" w:cs="仿宋"/>
                <w:b/>
                <w:bCs/>
                <w:sz w:val="21"/>
                <w:szCs w:val="21"/>
                <w:highlight w:val="none"/>
              </w:rPr>
              <w:t>时提供平台功能截图。</w:t>
            </w:r>
          </w:p>
          <w:p w14:paraId="71FFCEB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rPr>
              <w:t>（5）每个板块均可进行即时语音交流、专题直播在线讨论，可设置频次，平台可搜索历史提问查找答案，问题内容支持文档排版、表情包、图片、视屏、超链接等功能。</w:t>
            </w:r>
            <w:r>
              <w:rPr>
                <w:rFonts w:hint="eastAsia" w:ascii="仿宋" w:hAnsi="仿宋" w:eastAsia="仿宋" w:cs="仿宋"/>
                <w:b/>
                <w:bCs/>
                <w:sz w:val="21"/>
                <w:szCs w:val="21"/>
                <w:highlight w:val="none"/>
                <w:lang w:eastAsia="zh-CN"/>
              </w:rPr>
              <w:t>响应</w:t>
            </w:r>
            <w:r>
              <w:rPr>
                <w:rFonts w:hint="eastAsia" w:ascii="仿宋" w:hAnsi="仿宋" w:eastAsia="仿宋" w:cs="仿宋"/>
                <w:b/>
                <w:bCs/>
                <w:sz w:val="21"/>
                <w:szCs w:val="21"/>
                <w:highlight w:val="none"/>
              </w:rPr>
              <w:t>时提供平台功能截图。</w:t>
            </w:r>
          </w:p>
          <w:p w14:paraId="72253EB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.该实训平台须为成熟的教学实训、竞赛平台，须满足世界技能大赛中国选拔赛等不少于五种技能赛事要求</w:t>
            </w:r>
            <w:r>
              <w:rPr>
                <w:rFonts w:hint="eastAsia" w:ascii="仿宋" w:hAnsi="仿宋" w:eastAsia="仿宋" w:cs="仿宋"/>
                <w:sz w:val="21"/>
                <w:szCs w:val="21"/>
                <w:highlight w:val="none"/>
                <w:lang w:eastAsia="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（中标人在中标公告发布后3个工作日内提供证明文件给采购人核查，不提供或核查不通过采购人可取消其中标资格。）</w:t>
            </w:r>
          </w:p>
          <w:p w14:paraId="0D0D9844">
            <w:pPr>
              <w:keepNext w:val="0"/>
              <w:keepLines w:val="0"/>
              <w:pageBreakBefore w:val="0"/>
              <w:widowControl w:val="0"/>
              <w:kinsoku/>
              <w:wordWrap/>
              <w:overflowPunct/>
              <w:topLinePunct w:val="0"/>
              <w:autoSpaceDE/>
              <w:autoSpaceDN/>
              <w:bidi w:val="0"/>
              <w:snapToGrid/>
              <w:spacing w:line="240" w:lineRule="exact"/>
              <w:jc w:val="left"/>
              <w:textAlignment w:val="auto"/>
              <w:rPr>
                <w:rFonts w:hint="eastAsia" w:ascii="仿宋" w:hAnsi="仿宋" w:eastAsia="仿宋" w:cs="Times New Roman"/>
                <w:color w:val="000000"/>
                <w:sz w:val="21"/>
                <w:szCs w:val="21"/>
                <w:highlight w:val="none"/>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.为了保证产品实训教学效果及确保产品质量稳定可靠，要求</w:t>
            </w:r>
            <w:r>
              <w:rPr>
                <w:rFonts w:hint="eastAsia" w:ascii="仿宋" w:hAnsi="仿宋" w:eastAsia="仿宋" w:cs="仿宋"/>
                <w:b/>
                <w:bCs/>
                <w:sz w:val="21"/>
                <w:szCs w:val="21"/>
                <w:highlight w:val="none"/>
                <w:lang w:eastAsia="zh-CN"/>
              </w:rPr>
              <w:t>响应文件</w:t>
            </w:r>
            <w:r>
              <w:rPr>
                <w:rFonts w:hint="eastAsia" w:ascii="仿宋" w:hAnsi="仿宋" w:eastAsia="仿宋" w:cs="仿宋"/>
                <w:b/>
                <w:bCs/>
                <w:sz w:val="21"/>
                <w:szCs w:val="21"/>
                <w:highlight w:val="none"/>
              </w:rPr>
              <w:t>中需提供省级以上部门出具的产品检测报告。</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5DEB633E">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FBF1E90">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68213F43">
            <w:pPr>
              <w:jc w:val="center"/>
              <w:rPr>
                <w:rFonts w:ascii="仿宋" w:hAnsi="仿宋" w:eastAsia="仿宋" w:cs="Times New Roman"/>
                <w:color w:val="000000"/>
                <w:sz w:val="24"/>
                <w:highlight w:val="none"/>
              </w:rPr>
            </w:pPr>
          </w:p>
        </w:tc>
      </w:tr>
      <w:tr w14:paraId="489F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0" w:type="dxa"/>
            <w:vMerge w:val="continue"/>
            <w:tcBorders>
              <w:left w:val="single" w:color="auto" w:sz="4" w:space="0"/>
              <w:right w:val="single" w:color="auto" w:sz="4" w:space="0"/>
            </w:tcBorders>
            <w:noWrap w:val="0"/>
            <w:vAlign w:val="center"/>
          </w:tcPr>
          <w:p w14:paraId="7FD1E7E4">
            <w:pPr>
              <w:jc w:val="center"/>
              <w:rPr>
                <w:rFonts w:hint="eastAsia" w:ascii="仿宋" w:hAnsi="仿宋" w:eastAsia="仿宋" w:cs="Times New Roman"/>
                <w:color w:val="000000"/>
                <w:sz w:val="24"/>
                <w:highlight w:val="none"/>
                <w:lang w:val="en-US" w:eastAsia="zh-CN"/>
              </w:rPr>
            </w:pPr>
          </w:p>
        </w:tc>
        <w:tc>
          <w:tcPr>
            <w:tcW w:w="811" w:type="dxa"/>
            <w:vMerge w:val="continue"/>
            <w:tcBorders>
              <w:left w:val="single" w:color="auto" w:sz="4" w:space="0"/>
              <w:right w:val="single" w:color="auto" w:sz="4" w:space="0"/>
            </w:tcBorders>
            <w:noWrap w:val="0"/>
            <w:vAlign w:val="center"/>
          </w:tcPr>
          <w:p w14:paraId="2158223A">
            <w:pPr>
              <w:keepNext w:val="0"/>
              <w:keepLines w:val="0"/>
              <w:pageBreakBefore w:val="0"/>
              <w:widowControl w:val="0"/>
              <w:kinsoku/>
              <w:wordWrap/>
              <w:overflowPunct/>
              <w:topLinePunct w:val="0"/>
              <w:autoSpaceDE/>
              <w:autoSpaceDN/>
              <w:bidi w:val="0"/>
              <w:snapToGrid/>
              <w:spacing w:line="240" w:lineRule="exact"/>
              <w:jc w:val="center"/>
              <w:textAlignment w:val="auto"/>
              <w:rPr>
                <w:rFonts w:hint="eastAsia" w:ascii="仿宋" w:hAnsi="仿宋" w:eastAsia="仿宋" w:cs="Times New Roman"/>
                <w:color w:val="000000"/>
                <w:sz w:val="21"/>
                <w:szCs w:val="21"/>
                <w:highlight w:val="none"/>
                <w:lang w:val="en-US" w:eastAsia="zh-CN"/>
              </w:rPr>
            </w:pPr>
          </w:p>
        </w:tc>
        <w:tc>
          <w:tcPr>
            <w:tcW w:w="7030" w:type="dxa"/>
            <w:tcBorders>
              <w:top w:val="single" w:color="auto" w:sz="4" w:space="0"/>
              <w:left w:val="single" w:color="auto" w:sz="4" w:space="0"/>
              <w:bottom w:val="single" w:color="auto" w:sz="4" w:space="0"/>
              <w:right w:val="single" w:color="auto" w:sz="4" w:space="0"/>
            </w:tcBorders>
            <w:noWrap w:val="0"/>
            <w:vAlign w:val="top"/>
          </w:tcPr>
          <w:p w14:paraId="4046257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二、主要配置及功能要求</w:t>
            </w:r>
          </w:p>
          <w:p w14:paraId="6873A6E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装调平</w:t>
            </w:r>
            <w:r>
              <w:rPr>
                <w:rFonts w:hint="eastAsia" w:ascii="仿宋" w:hAnsi="仿宋" w:eastAsia="仿宋" w:cs="仿宋"/>
                <w:sz w:val="21"/>
                <w:szCs w:val="21"/>
                <w:highlight w:val="none"/>
              </w:rPr>
              <w:t>台要求</w:t>
            </w:r>
          </w:p>
          <w:p w14:paraId="2CECA44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（1）平台整体采用钢制雨篷式结构设计，表面静电喷涂工艺处理，融合了现代化工业设计风格及造型。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1）平台左右侧前角为150度圆弧过渡，抽屉边框正面四角为R35圆角过渡，后侧为双开门结构样式。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2）左、右侧柱采用卡扣式安装，最小截面不小于60x11mm，最大截面不小于150x11mm，表面logo采用嵌套工艺UV打印。</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3）顶部灯罩采用雨篷式结构，折边均采用圆弧过渡工艺，尺寸不小于1120x300x60mm，并设置有LED照明灯，照明透光区域不小于1000x150mm；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4）插座面板采用1.5mm优质冷轧钢板网孔板设计，可挂置零件盒，左、右侧设置有220V、380V电源插座，尺寸不小于1100x585x60mm。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（2）配有带安装槽的基准铸铁平板台面，平板台面T字槽型结构，材质为HT250，槽宽12mm，外形尺寸：1000×750×50mm，工作表面不低于0级精度。</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（3）配有上槽轨组件，槽宽10mm；上槽轨组件应可调节地设置在下槽轨组件上，实训组件可调节地设置在所述上槽轨组件上。</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Times New Roman"/>
                <w:sz w:val="22"/>
                <w:szCs w:val="22"/>
                <w:highlight w:val="none"/>
              </w:rPr>
              <w:t>★</w:t>
            </w:r>
            <w:r>
              <w:rPr>
                <w:rFonts w:hint="eastAsia" w:ascii="仿宋" w:hAnsi="仿宋" w:eastAsia="仿宋" w:cs="仿宋"/>
                <w:i w:val="0"/>
                <w:iCs w:val="0"/>
                <w:color w:val="000000"/>
                <w:kern w:val="0"/>
                <w:sz w:val="21"/>
                <w:szCs w:val="21"/>
                <w:highlight w:val="none"/>
                <w:u w:val="none"/>
                <w:lang w:val="en-US" w:eastAsia="zh-CN" w:bidi="ar"/>
              </w:rPr>
              <w:t>（4）配套有可观察式防护罩（2×2面），须与设备一体创新设计</w:t>
            </w:r>
            <w:r>
              <w:rPr>
                <w:rFonts w:hint="eastAsia" w:ascii="仿宋" w:hAnsi="仿宋" w:eastAsia="仿宋" w:cs="仿宋"/>
                <w:b/>
                <w:bCs/>
                <w:sz w:val="21"/>
                <w:szCs w:val="21"/>
                <w:highlight w:val="none"/>
                <w:lang w:val="en-US" w:eastAsia="zh-CN"/>
              </w:rPr>
              <w:t>（</w:t>
            </w:r>
            <w:r>
              <w:rPr>
                <w:rFonts w:hint="eastAsia" w:ascii="仿宋" w:hAnsi="仿宋" w:eastAsia="仿宋" w:cs="仿宋"/>
                <w:b/>
                <w:bCs/>
                <w:sz w:val="21"/>
                <w:szCs w:val="21"/>
                <w:highlight w:val="none"/>
                <w:lang w:eastAsia="zh-CN"/>
              </w:rPr>
              <w:t>响应</w:t>
            </w:r>
            <w:r>
              <w:rPr>
                <w:rFonts w:hint="eastAsia" w:ascii="仿宋" w:hAnsi="仿宋" w:eastAsia="仿宋" w:cs="仿宋"/>
                <w:b/>
                <w:bCs/>
                <w:sz w:val="21"/>
                <w:szCs w:val="21"/>
                <w:highlight w:val="none"/>
                <w:lang w:val="en-US" w:eastAsia="zh-CN"/>
              </w:rPr>
              <w:t>文件提供实物图照片）</w:t>
            </w:r>
            <w:r>
              <w:rPr>
                <w:rFonts w:hint="eastAsia" w:ascii="仿宋" w:hAnsi="仿宋" w:eastAsia="仿宋" w:cs="仿宋"/>
                <w:i w:val="0"/>
                <w:iCs w:val="0"/>
                <w:color w:val="000000"/>
                <w:kern w:val="0"/>
                <w:sz w:val="21"/>
                <w:szCs w:val="21"/>
                <w:highlight w:val="none"/>
                <w:u w:val="none"/>
                <w:lang w:val="en-US" w:eastAsia="zh-CN" w:bidi="ar"/>
              </w:rPr>
              <w:t>。内设有安全保障系统，可对传动部件运行空间进行防护。</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设有存储抽屉，抽屉把手采用嵌套式工艺，把手区域不小于240x25mm，抽屉面板顶部和底部采用圆角工艺设计，抽屉总个数不少于7个，每层抽屉采用22寸阻尼加厚静音款三节轨；内腔存放盒≧5个，尺寸≧500x550*50mm，方便实训零件、资料等的放置及管理。</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（6）底部采用工业级福马轮，单轮承重不小于500kg，并设置有水平调节底脚，移动、定位方便</w:t>
            </w:r>
            <w:r>
              <w:rPr>
                <w:rFonts w:hint="eastAsia" w:ascii="仿宋" w:hAnsi="仿宋" w:eastAsia="仿宋" w:cs="仿宋"/>
                <w:sz w:val="21"/>
                <w:szCs w:val="21"/>
                <w:highlight w:val="none"/>
              </w:rPr>
              <w:t>。</w:t>
            </w:r>
          </w:p>
          <w:p w14:paraId="7168682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2.电控箱要求</w:t>
            </w:r>
          </w:p>
          <w:p w14:paraId="0DB9B88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lang w:val="en-US" w:eastAsia="zh-CN" w:bidi="ar"/>
              </w:rPr>
              <w:t>（1）</w:t>
            </w:r>
            <w:r>
              <w:rPr>
                <w:rFonts w:hint="eastAsia" w:ascii="仿宋" w:hAnsi="仿宋" w:eastAsia="仿宋" w:cs="仿宋"/>
                <w:i w:val="0"/>
                <w:iCs w:val="0"/>
                <w:color w:val="000000"/>
                <w:kern w:val="0"/>
                <w:sz w:val="21"/>
                <w:szCs w:val="21"/>
                <w:highlight w:val="none"/>
                <w:u w:val="none"/>
                <w:lang w:val="en-US" w:eastAsia="zh-CN" w:bidi="ar"/>
              </w:rPr>
              <w:t>电控箱应为优质冷轧钢板材质，表面密纹喷塑处理，应采用滑动隐藏收纳设计；</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（2）工业变频器1个：额定功率≧0.37 kW，有 60 秒 150 % 过载，I/O 接口：4DI/2DO/2AI，支持USS/MODBUS RTU总线通讯。</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（3）配有转换开关1个、钥匙开关1个、保护器1个、接触器1个、继电器4个、24VDC/5A直流电源1个、RJ45接口模块1个、外置接口模块1个等电气部件。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（4）外部操作面板1块，具有工作状态液晶显示、工作模式控制、运行和停止控制、运行速度控制控制等功能。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Times New Roman"/>
                <w:sz w:val="22"/>
                <w:szCs w:val="22"/>
                <w:highlight w:val="none"/>
              </w:rPr>
              <w:t>★</w:t>
            </w:r>
            <w:r>
              <w:rPr>
                <w:rFonts w:hint="eastAsia" w:ascii="仿宋" w:hAnsi="仿宋" w:eastAsia="仿宋" w:cs="仿宋"/>
                <w:b/>
                <w:bCs/>
                <w:i w:val="0"/>
                <w:iCs w:val="0"/>
                <w:color w:val="000000"/>
                <w:kern w:val="0"/>
                <w:sz w:val="21"/>
                <w:szCs w:val="21"/>
                <w:highlight w:val="none"/>
                <w:u w:val="none"/>
                <w:lang w:val="en-US" w:eastAsia="zh-CN" w:bidi="ar"/>
              </w:rPr>
              <w:t>（5）响应文件应提供电控箱实物图片</w:t>
            </w:r>
            <w:r>
              <w:rPr>
                <w:rFonts w:hint="eastAsia" w:ascii="仿宋" w:hAnsi="仿宋" w:eastAsia="仿宋" w:cs="仿宋"/>
                <w:i w:val="0"/>
                <w:iCs w:val="0"/>
                <w:color w:val="000000"/>
                <w:kern w:val="0"/>
                <w:sz w:val="21"/>
                <w:szCs w:val="21"/>
                <w:highlight w:val="none"/>
                <w:u w:val="none"/>
                <w:lang w:val="en-US" w:eastAsia="zh-CN" w:bidi="ar"/>
              </w:rPr>
              <w:t>。</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（6）变频器学习软件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1）软件教学内容与设备配套变频器系列产品一致；</w:t>
            </w:r>
          </w:p>
          <w:p w14:paraId="7397D88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rPr>
              <w:t>2）提供不少于35个学习项目</w:t>
            </w:r>
            <w:r>
              <w:rPr>
                <w:rFonts w:hint="eastAsia" w:ascii="仿宋" w:hAnsi="仿宋" w:eastAsia="仿宋" w:cs="仿宋"/>
                <w:b/>
                <w:bCs/>
                <w:sz w:val="21"/>
                <w:szCs w:val="21"/>
                <w:highlight w:val="none"/>
              </w:rPr>
              <w:t>（</w:t>
            </w:r>
            <w:r>
              <w:rPr>
                <w:rFonts w:hint="eastAsia" w:ascii="仿宋" w:hAnsi="仿宋" w:eastAsia="仿宋" w:cs="仿宋"/>
                <w:b/>
                <w:bCs/>
                <w:sz w:val="21"/>
                <w:szCs w:val="21"/>
                <w:highlight w:val="none"/>
                <w:lang w:eastAsia="zh-CN"/>
              </w:rPr>
              <w:t>响应文件</w:t>
            </w:r>
            <w:r>
              <w:rPr>
                <w:rFonts w:hint="eastAsia" w:ascii="仿宋" w:hAnsi="仿宋" w:eastAsia="仿宋" w:cs="仿宋"/>
                <w:b/>
                <w:bCs/>
                <w:sz w:val="21"/>
                <w:szCs w:val="21"/>
                <w:highlight w:val="none"/>
              </w:rPr>
              <w:t>须列出具体项目内容）</w:t>
            </w:r>
            <w:r>
              <w:rPr>
                <w:rFonts w:hint="eastAsia" w:ascii="仿宋" w:hAnsi="仿宋" w:eastAsia="仿宋" w:cs="仿宋"/>
                <w:sz w:val="21"/>
                <w:szCs w:val="21"/>
                <w:highlight w:val="none"/>
              </w:rPr>
              <w:t>；</w:t>
            </w:r>
          </w:p>
          <w:p w14:paraId="775909B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3、基本实训组件要求</w:t>
            </w:r>
          </w:p>
          <w:p w14:paraId="2333586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（1）变频驱动电机1台：额定功率≥0.37kW，输入电压AC380V。</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 传动轴一2根，材料：40CrMo，规格：Ø20mm×225mm，带键槽，精度：直线度≦0.02mm/225mm，粗糙度≤0.8μm，硬度HRC28-32。</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 传动轴二3根，材料：40CrMo，规格：Ø20mm×350mm，带键槽，精度：直线度≦0.02mm/225mm，粗糙度≤0.8μm，硬度HRC28-32。</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（4）梅花联轴器2个，材料：45#钢，规格：外径65mm，长度90mm，轴孔14/20mm，轴孔20/20mm，带键槽和顶丝，精度：IT6级，粗糙度≤3.2μm。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（5）凸缘联轴器1个，材料：45#钢，规格：轴孔14/20，带键槽和顶丝，两端轴长45mm，精度：IT6级，径向跳动≤0.03mm，端面跳动≤0.03mm，粗糙度≤3.2μm。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（6）刚性联轴器1个，材料：45#钢，规格：轴孔14/20，精度：IT7级。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（7）弹性套柱销联轴器，材料：45#钢，规格：轴孔14/20，精度：IT7级。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（8）弹性柱销联轴器，材料：45#钢，规格：轴孔14/20，精度：IT7级。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（9）JM型膜片联轴器，材料：45#钢，规格：轴孔14/20，精度：IT7级。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（10）电机安装座垫高块，材料：6063铝合金，规格：220×120×20mm，精度：IT7级。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（11）电机安装座1件，材料：6063铝合金，规格：220x120x18.5mm，精度：IT7级。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（12）轴承座垫高块10件，材料：6063铝合金，规格：170x40x57mm，精度：IT7级。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（13）带立式座外球面轴承10个，材料：HT250灰口铸铁，规格：内孔20mm，精度：IT7级。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（14）槽轨一2根，材料：6063铝合金，规格：45x45x300mm，精度：IT7级。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（15）槽轨二4根，材料：6063铝合金，规格：45x45x365mm，精度：IT7级。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（16）槽轨三4根，材料：6063铝合金，规格：45x45x637mm，精度：IT7级。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（17）槽轨四6根，材料：6063铝合金，规格：45x45x952mm，精度：IT7级。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（18）快拆式抱轴器，材料：6063铝合金，规格：适用20mm。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（19）轴承座调整块，材料：45#钢，规格：55x25x40mm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（20）磁性座滑块，材料：45#钢，规格：50x60x20mm，精度：IT6级，粗糙度≤1.6μm。</w:t>
            </w:r>
          </w:p>
          <w:p w14:paraId="6497B27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4.机械传动组件一要求</w:t>
            </w:r>
          </w:p>
          <w:p w14:paraId="0E1CE1A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（1）带传动部分要求</w:t>
            </w:r>
          </w:p>
          <w:p w14:paraId="4C392C7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1）单槽V带轮一1个，材料：45#钢，规格：A型，节径80 mm，孔径14mm，精度：IT7级，表面粗糙度≤3.2μm。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2）单槽V带轮二1个，材料：45#钢，规格：A型，节径80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3）单槽V带轮三1个，材料：45#钢，规格：A型，节径100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4）单槽V带轮四1个，材料：45#钢，规格：A型，节径125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5）V型皮带1根，材料：氯丁橡胶，规格：SPA1000，精度：IT12级。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6）弹性张紧器1套，材料：POM，规格：Ø40×50mm，配张紧器支架</w:t>
            </w:r>
            <w:r>
              <w:rPr>
                <w:rFonts w:hint="eastAsia" w:ascii="仿宋" w:hAnsi="仿宋" w:eastAsia="仿宋" w:cs="仿宋"/>
                <w:sz w:val="21"/>
                <w:szCs w:val="21"/>
                <w:highlight w:val="none"/>
                <w:lang w:val="zh-CN"/>
              </w:rPr>
              <w:t>。</w:t>
            </w:r>
          </w:p>
          <w:p w14:paraId="2CACB3F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Times New Roman"/>
                <w:sz w:val="22"/>
                <w:szCs w:val="22"/>
                <w:highlight w:val="none"/>
              </w:rPr>
              <w:t>★</w:t>
            </w:r>
            <w:r>
              <w:rPr>
                <w:rFonts w:hint="eastAsia" w:ascii="仿宋" w:hAnsi="仿宋" w:eastAsia="仿宋" w:cs="仿宋"/>
                <w:sz w:val="21"/>
                <w:szCs w:val="21"/>
                <w:highlight w:val="none"/>
                <w:lang w:val="en-US" w:eastAsia="zh-CN"/>
              </w:rPr>
              <w:t>7）</w:t>
            </w:r>
            <w:r>
              <w:rPr>
                <w:rFonts w:hint="eastAsia" w:ascii="仿宋" w:hAnsi="仿宋" w:eastAsia="仿宋" w:cs="仿宋"/>
                <w:b/>
                <w:bCs/>
                <w:sz w:val="21"/>
                <w:szCs w:val="21"/>
                <w:highlight w:val="none"/>
                <w:lang w:val="zh-CN"/>
              </w:rPr>
              <w:t>响应文件中</w:t>
            </w:r>
            <w:r>
              <w:rPr>
                <w:rFonts w:hint="eastAsia" w:ascii="仿宋" w:hAnsi="仿宋" w:eastAsia="仿宋" w:cs="仿宋"/>
                <w:b/>
                <w:bCs/>
                <w:sz w:val="21"/>
                <w:szCs w:val="21"/>
                <w:highlight w:val="none"/>
                <w:lang w:val="en-US" w:eastAsia="zh-CN"/>
              </w:rPr>
              <w:t>须</w:t>
            </w:r>
            <w:r>
              <w:rPr>
                <w:rFonts w:hint="eastAsia" w:ascii="仿宋" w:hAnsi="仿宋" w:eastAsia="仿宋" w:cs="仿宋"/>
                <w:b/>
                <w:bCs/>
                <w:sz w:val="21"/>
                <w:szCs w:val="21"/>
                <w:highlight w:val="none"/>
                <w:lang w:val="zh-CN"/>
              </w:rPr>
              <w:t>附至少一种本部分组合搭建的</w:t>
            </w:r>
            <w:r>
              <w:rPr>
                <w:rFonts w:hint="eastAsia" w:ascii="仿宋" w:hAnsi="仿宋" w:eastAsia="仿宋" w:cs="仿宋"/>
                <w:b/>
                <w:bCs/>
                <w:sz w:val="21"/>
                <w:szCs w:val="21"/>
                <w:highlight w:val="none"/>
                <w:lang w:val="en-US" w:eastAsia="zh-CN"/>
              </w:rPr>
              <w:t>带</w:t>
            </w:r>
            <w:r>
              <w:rPr>
                <w:rFonts w:hint="eastAsia" w:ascii="仿宋" w:hAnsi="仿宋" w:eastAsia="仿宋" w:cs="仿宋"/>
                <w:b/>
                <w:bCs/>
                <w:sz w:val="21"/>
                <w:szCs w:val="21"/>
                <w:highlight w:val="none"/>
                <w:lang w:val="zh-CN"/>
              </w:rPr>
              <w:t>传动方案实物图片。</w:t>
            </w:r>
          </w:p>
          <w:p w14:paraId="17F2B67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（2）链传动部分要求</w:t>
            </w:r>
          </w:p>
          <w:p w14:paraId="71D575C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1）单排链条2条，材料：Q235钢，规格：08B，100节，精度：IT7级。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2）单排链轮一1个，材料：45#钢，规格：08B，齿数15，孔径14mm，硬度55-60HRC，精度：IT7级，齿形粗糙度≤3.2μm。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3）单排链轮二1个，材料：45#钢，规格：08B，齿数15，孔径20mm，硬度55-60HRC，精度：IT7级，齿形粗糙度≤3.2μm。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 单排链轮三1个，材料：45#钢，规格：08B，齿数20，孔径20mm，硬度55-60HRC，精度：IT7级，齿形粗糙度≤3.2μm。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 单排链轮四1个，材料：45#钢，规格：08B，齿数25，孔径20mm，硬度55-60HRC，精度：IT7级，齿形粗糙度≤3.2μm。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6）链条接头5个，材料：Q235钢，规格：08B，精度：IT7级。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7）单排张紧链轮组件1套，材料：45#钢，规格：08B，齿数15，精度：IT7级，齿形粗糙度≤3.2μm，硬度55-60HRC。</w:t>
            </w:r>
          </w:p>
          <w:p w14:paraId="16F7AF9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b/>
                <w:bCs/>
                <w:sz w:val="21"/>
                <w:szCs w:val="21"/>
                <w:highlight w:val="none"/>
                <w:lang w:val="en-US" w:eastAsia="zh-CN"/>
              </w:rPr>
              <w:t>8</w:t>
            </w:r>
            <w:r>
              <w:rPr>
                <w:rFonts w:hint="eastAsia" w:ascii="仿宋" w:hAnsi="仿宋" w:eastAsia="仿宋" w:cs="仿宋"/>
                <w:b/>
                <w:bCs/>
                <w:sz w:val="21"/>
                <w:szCs w:val="21"/>
                <w:highlight w:val="none"/>
                <w:lang w:val="zh-CN"/>
              </w:rPr>
              <w:t>）</w:t>
            </w:r>
            <w:r>
              <w:rPr>
                <w:rFonts w:hint="eastAsia" w:ascii="仿宋" w:hAnsi="仿宋" w:eastAsia="仿宋" w:cs="仿宋"/>
                <w:b/>
                <w:bCs/>
                <w:sz w:val="21"/>
                <w:szCs w:val="21"/>
                <w:highlight w:val="none"/>
                <w:lang w:val="en-US" w:eastAsia="zh-CN"/>
              </w:rPr>
              <w:t>响应</w:t>
            </w:r>
            <w:r>
              <w:rPr>
                <w:rFonts w:hint="eastAsia" w:ascii="仿宋" w:hAnsi="仿宋" w:eastAsia="仿宋" w:cs="仿宋"/>
                <w:b/>
                <w:bCs/>
                <w:sz w:val="21"/>
                <w:szCs w:val="21"/>
                <w:highlight w:val="none"/>
                <w:lang w:val="zh-CN"/>
              </w:rPr>
              <w:t>文件中</w:t>
            </w:r>
            <w:r>
              <w:rPr>
                <w:rFonts w:hint="eastAsia" w:ascii="仿宋" w:hAnsi="仿宋" w:eastAsia="仿宋" w:cs="仿宋"/>
                <w:b/>
                <w:bCs/>
                <w:sz w:val="21"/>
                <w:szCs w:val="21"/>
                <w:highlight w:val="none"/>
                <w:lang w:val="en-US" w:eastAsia="zh-CN"/>
              </w:rPr>
              <w:t>须</w:t>
            </w:r>
            <w:r>
              <w:rPr>
                <w:rFonts w:hint="eastAsia" w:ascii="仿宋" w:hAnsi="仿宋" w:eastAsia="仿宋" w:cs="仿宋"/>
                <w:b/>
                <w:bCs/>
                <w:sz w:val="21"/>
                <w:szCs w:val="21"/>
                <w:highlight w:val="none"/>
                <w:lang w:val="zh-CN"/>
              </w:rPr>
              <w:t>附至少一种本部分组合搭建的链传动方案实物图片。</w:t>
            </w:r>
          </w:p>
          <w:p w14:paraId="282B93B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（3）齿轮传动部分要求</w:t>
            </w:r>
          </w:p>
          <w:p w14:paraId="064B13D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 直齿圆柱齿轮一2个，材料：20CrMnTi，规格：齿数48，模数1.5，压力角20°，配孔径20 mm免键式胀紧套，IT6级，齿形粗糙度≤1.6μm，硬度55-60HRC。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 直齿圆柱齿轮二2个，材料：20CrMnTi，规格：齿数60，模数1.5，压力角20°，配孔径20 mm免键式胀紧套，IT6级，齿形粗糙度≤1.6μm，硬度55-60HRC。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 直齿圆柱齿轮三1个，材料：20CrMnTi，规格：齿数30，模数2，压力角20°，孔径14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 直齿圆柱齿轮四1个，材料：20CrMnTi，规格：齿数30，模数2，压力角20°，孔径20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 直齿圆柱齿轮五1个，材料：20CrMnTi，规格：齿数40，模数2，压力角20°，孔径20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 直齿圆柱齿轮六1个，材料：20CrMnTi，规格：齿数50，模数2，压力角20°，孔径20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 直齿圆柱齿轮七1个，材料：20CrMnTi，规格：齿数60，模数2，压力角20°，配孔径20 mm免键式胀紧套，IT6级，齿形粗糙度≤1.6μm，硬度55-60HRC。</w:t>
            </w:r>
          </w:p>
          <w:p w14:paraId="302C2C0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b/>
                <w:bCs/>
                <w:sz w:val="21"/>
                <w:szCs w:val="21"/>
                <w:highlight w:val="none"/>
                <w:lang w:val="en-US" w:eastAsia="zh-CN"/>
              </w:rPr>
              <w:t>8</w:t>
            </w:r>
            <w:r>
              <w:rPr>
                <w:rFonts w:hint="eastAsia" w:ascii="仿宋" w:hAnsi="仿宋" w:eastAsia="仿宋" w:cs="仿宋"/>
                <w:b/>
                <w:bCs/>
                <w:sz w:val="21"/>
                <w:szCs w:val="21"/>
                <w:highlight w:val="none"/>
                <w:lang w:val="zh-CN"/>
              </w:rPr>
              <w:t>）至少能完成</w:t>
            </w:r>
            <w:r>
              <w:rPr>
                <w:rFonts w:hint="eastAsia" w:ascii="仿宋" w:hAnsi="仿宋" w:eastAsia="仿宋" w:cs="仿宋"/>
                <w:b/>
                <w:bCs/>
                <w:sz w:val="21"/>
                <w:szCs w:val="21"/>
                <w:highlight w:val="none"/>
                <w:lang w:val="en-US" w:eastAsia="zh-CN"/>
              </w:rPr>
              <w:t>3种</w:t>
            </w:r>
            <w:r>
              <w:rPr>
                <w:rFonts w:hint="eastAsia" w:ascii="仿宋" w:hAnsi="仿宋" w:eastAsia="仿宋" w:cs="仿宋"/>
                <w:b/>
                <w:bCs/>
                <w:sz w:val="21"/>
                <w:szCs w:val="21"/>
                <w:highlight w:val="none"/>
                <w:lang w:val="zh-CN"/>
              </w:rPr>
              <w:t>齿轮传动组合搭接方案，投标文件须列出各组合搭接方案的齿轮搭配情况，并附至少一种组合搭建的带传动方案实物图片。</w:t>
            </w:r>
          </w:p>
          <w:p w14:paraId="03A98A2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5.机械传动组件二要求</w:t>
            </w:r>
          </w:p>
          <w:p w14:paraId="706214D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（1）带传动部分要求</w:t>
            </w:r>
          </w:p>
          <w:p w14:paraId="1A489F8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主要由级进V型带轮、同步带轮、锥套式同步带轮、组合式变径带轮，锥套式双槽皮带轮、配套皮带等组成。</w:t>
            </w:r>
          </w:p>
          <w:p w14:paraId="3AD1A3B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1）级进V型带轮2个，材料：45#钢，规格：A型槽，节径55mm和90mm，孔径20 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2）同步带轮1个，材料：45#钢，规格：T10型，24齿，孔径14mm，精度：IT7级，表面粗糙度≤3.2μm。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3）同步带轮2个，材料：45#钢，规格：T10型，24齿，孔径20mm，精度：IT7级，表面粗糙度≤3.2μm。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4）锥套式同步带轮1个，材料：45#钢，规格：8M型，24齿，配孔径20mm锥形衬套，精度：IT7级，表面粗糙度≤3.2μm。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5）锥套式同步带轮1个，材料：45#钢，规格：8M型，30齿，配孔径20mm锥形衬套，精度：IT7级，表面粗糙度≤3.2μm。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6）组合式变径V带轮1个，材料：45#钢，规格：最大节径100mm，孔径20mm，精度：IT7级，表面粗糙度≤3.2μm。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7）锥套式双槽V带轮1个，材料：45#钢，规格：A型，节径90mm；配孔径20 mm的锥形衬套带键槽，精度：IT7级，表面粗糙度≤3.2μm。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8）锥套式双槽V带轮1个，材料：45#钢，规格：A型，节径125 mm；配孔径20 mm的锥形衬套带键槽，精度：IT7级，表面粗糙度≤3.2μm。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9）V型皮带4根，材料：氯丁橡胶，规格：A38两根、A48一根，XPA1000一根，精度：IT12级。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10）同步带2根，材料：氯丁橡胶，规格：T10型98齿一根，HTD型号120齿一根，精度：IT12级。</w:t>
            </w:r>
          </w:p>
          <w:p w14:paraId="544CDAA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b/>
                <w:bCs/>
                <w:sz w:val="21"/>
                <w:szCs w:val="21"/>
                <w:highlight w:val="none"/>
                <w:lang w:val="en-US" w:eastAsia="zh-CN"/>
              </w:rPr>
              <w:t>11</w:t>
            </w:r>
            <w:r>
              <w:rPr>
                <w:rFonts w:hint="eastAsia" w:ascii="仿宋" w:hAnsi="仿宋" w:eastAsia="仿宋" w:cs="仿宋"/>
                <w:b/>
                <w:bCs/>
                <w:sz w:val="21"/>
                <w:szCs w:val="21"/>
                <w:highlight w:val="none"/>
                <w:lang w:val="zh-CN"/>
              </w:rPr>
              <w:t>）响应文件中</w:t>
            </w:r>
            <w:r>
              <w:rPr>
                <w:rFonts w:hint="eastAsia" w:ascii="仿宋" w:hAnsi="仿宋" w:eastAsia="仿宋" w:cs="仿宋"/>
                <w:b/>
                <w:bCs/>
                <w:sz w:val="21"/>
                <w:szCs w:val="21"/>
                <w:highlight w:val="none"/>
                <w:lang w:val="en-US" w:eastAsia="zh-CN"/>
              </w:rPr>
              <w:t>须</w:t>
            </w:r>
            <w:r>
              <w:rPr>
                <w:rFonts w:hint="eastAsia" w:ascii="仿宋" w:hAnsi="仿宋" w:eastAsia="仿宋" w:cs="仿宋"/>
                <w:b/>
                <w:bCs/>
                <w:sz w:val="21"/>
                <w:szCs w:val="21"/>
                <w:highlight w:val="none"/>
                <w:lang w:val="zh-CN"/>
              </w:rPr>
              <w:t>附至少一种本部分组合搭建的带传动方案实物图片。</w:t>
            </w:r>
          </w:p>
          <w:p w14:paraId="089D0E8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（2）链传动部分要求</w:t>
            </w:r>
          </w:p>
          <w:p w14:paraId="499DDCA6">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主要由双排链轮、配套双排滚子链条、双排滚子链条接头及双排张紧链轮组件等组成。</w:t>
            </w:r>
          </w:p>
          <w:p w14:paraId="2E384929">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1）锥套式双排链轮1个，材料：45#钢，规格：08B，齿数17，配孔径20 mm的锥形衬套带键槽，精度：IT7级，齿形粗糙度≤3.2μm。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2）锥套式双排链轮1个，材料：45#钢，规格：08B，齿数20，配孔径20 mm的锥形衬套带键槽，精度：IT7级，齿形粗糙度≤3.2μm。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3）双排滚子链条1根，材料：Q235钢，规格：08B，100节，精度：IT7级。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4）链条接头5个，材料：Q235钢，规格：08B，精度：IT7级。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5）双排张紧链轮组件1套，材料：45#钢，规格：08B，齿数15，内配滚动轴承，精度：IT7级，齿形粗糙度≤3.2μm。</w:t>
            </w:r>
          </w:p>
          <w:p w14:paraId="57CB4E24">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b/>
                <w:bCs/>
                <w:sz w:val="21"/>
                <w:szCs w:val="21"/>
                <w:highlight w:val="none"/>
                <w:lang w:val="en-US" w:eastAsia="zh-CN"/>
              </w:rPr>
              <w:t>8</w:t>
            </w:r>
            <w:r>
              <w:rPr>
                <w:rFonts w:hint="eastAsia" w:ascii="仿宋" w:hAnsi="仿宋" w:eastAsia="仿宋" w:cs="仿宋"/>
                <w:b/>
                <w:bCs/>
                <w:sz w:val="21"/>
                <w:szCs w:val="21"/>
                <w:highlight w:val="none"/>
                <w:lang w:val="zh-CN"/>
              </w:rPr>
              <w:t>）响应文件中须并附至少一种本部分组合搭建的链传动方案实物图片。</w:t>
            </w:r>
          </w:p>
          <w:p w14:paraId="23538CF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（3）齿轮传动部分要求</w:t>
            </w:r>
          </w:p>
          <w:p w14:paraId="004C4E8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主要由直齿锥齿轮、蜗轮蜗杆、斜齿轮、安装组件等组成。</w:t>
            </w:r>
          </w:p>
          <w:p w14:paraId="09F3A1F4">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lang w:val="en-US" w:eastAsia="zh-CN" w:bidi="ar"/>
              </w:rPr>
              <w:t>1）</w:t>
            </w:r>
            <w:r>
              <w:rPr>
                <w:rFonts w:hint="eastAsia" w:ascii="仿宋" w:hAnsi="仿宋" w:eastAsia="仿宋" w:cs="仿宋"/>
                <w:i w:val="0"/>
                <w:iCs w:val="0"/>
                <w:color w:val="000000"/>
                <w:kern w:val="0"/>
                <w:sz w:val="21"/>
                <w:szCs w:val="21"/>
                <w:highlight w:val="none"/>
                <w:u w:val="none"/>
                <w:lang w:val="en-US" w:eastAsia="zh-CN" w:bidi="ar"/>
              </w:rPr>
              <w:t>直齿锥齿轮2个，材料：45#钢，规格：齿数30，模数2，孔径20 mm，精度：IT6级，齿形粗糙度≤1.6μm，硬度55-60HRC。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2）蜗杆1根，材料：45#钢，规格：模数2.5，压力角20°，精度:IT6级。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3）蜗轮1个，材料：黄铜，规格：模数2.5，齿数46，压力角为20°，精度：IT7级。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4）左旋斜齿轮1个，材料：20CrMnTi，规格：齿数30，模数2，压力角20°，孔径20，IT6级，齿形粗糙度≤1.6μm，硬度55-60HRC。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5）右旋斜齿轮2个，材料：20CrMnTi，规格：齿数30，模数2，压力角20°，孔径20，IT6级，齿形粗糙度≤1.6μm，硬度55-60HRC。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6）传动轴止推环10个，材料45#钢，规格：20x40x12mm，精度：IT7级。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7）蜗轮、蜗杆安装座4个，材料：6063铝合金，规格：170x40x35mm，精度：IT7级.</w:t>
            </w:r>
          </w:p>
          <w:p w14:paraId="4C3FDC9E">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Times New Roman"/>
                <w:sz w:val="22"/>
                <w:szCs w:val="22"/>
                <w:highlight w:val="none"/>
              </w:rPr>
              <w:t>★</w:t>
            </w:r>
            <w:r>
              <w:rPr>
                <w:rFonts w:hint="eastAsia" w:ascii="仿宋" w:hAnsi="仿宋" w:eastAsia="仿宋" w:cs="仿宋"/>
                <w:b/>
                <w:bCs/>
                <w:sz w:val="21"/>
                <w:szCs w:val="21"/>
                <w:highlight w:val="none"/>
                <w:lang w:val="en-US" w:eastAsia="zh-CN"/>
              </w:rPr>
              <w:t>8</w:t>
            </w:r>
            <w:r>
              <w:rPr>
                <w:rFonts w:hint="eastAsia" w:ascii="仿宋" w:hAnsi="仿宋" w:eastAsia="仿宋" w:cs="仿宋"/>
                <w:b/>
                <w:bCs/>
                <w:sz w:val="21"/>
                <w:szCs w:val="21"/>
                <w:highlight w:val="none"/>
                <w:lang w:val="zh-CN"/>
              </w:rPr>
              <w:t>）响应文件中须附至少一种本部分组合搭建的齿轮传动方案实物图片。</w:t>
            </w:r>
          </w:p>
          <w:p w14:paraId="78885DE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lang w:val="zh-CN"/>
              </w:rPr>
              <w:t>.实训模型及实训套件要求</w:t>
            </w:r>
          </w:p>
          <w:p w14:paraId="3BEB5DB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（1）轮毂模型要求</w:t>
            </w:r>
          </w:p>
          <w:p w14:paraId="4046A796">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主要由前盖、后盖、主轴、主体、骨架油封、圆锥滚子轴承、圆螺母用止动垫圈、圆螺母等零部件组成。</w:t>
            </w:r>
          </w:p>
          <w:p w14:paraId="04E39693">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val="0"/>
                <w:bCs w:val="0"/>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1）固定支架1个，材料：Q235钢，规格：70x50x85mm，精度：IT12级。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2）前盖1个，材料：45#钢，规格：Ø80x16mm，精度：IT7级，粗糙度≤3.2μm。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3）后盖1个，材料：45#钢，规格：Ø80x12mm，精度：IT7级，粗糙度≤3.2μm。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4）主轴1根，材料：45#钢，规格：Ø30×94mm，精度：IT6级，粗糙度≤3.2μm。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5）主体1个，材料：45#钢，规格：Ø80x70mm，精度：IT6级，粗糙度≤3.2μm。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6）骨架油封1个，材料：丁腈橡胶，规格：Ø30xØ50x10mm，精度：IT7级。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7）圆锥滚子轴承1个，材料：轴承钢，规格：30204，精度：IT6级。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8）圆锥滚子轴承1个，材料：轴承钢，规格：30205，精度：IT6级。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9）圆螺母用止动垫圈1个，材料：Q235钢，规格：M20×1.5，精度：IT7级。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10）圆螺母1个，材料：45#钢，规格：M20×1.5，精度：IT7级。</w:t>
            </w:r>
          </w:p>
          <w:p w14:paraId="330D11D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rPr>
              <w:t>）泵浦模型要求</w:t>
            </w:r>
          </w:p>
          <w:p w14:paraId="2568B8B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主轴、透盖、马达侧座、叶轮侧座、机械密封座、泵浦叶轮、泵浦锥杯、VA水封、骨架油封、骨架油封、孔用弹性挡圈、轴用弹性挡圈、圆螺母用止动垫圈、圆螺母、深沟球轴承、角接触球轴承、O型圈、水泵用机械式密等零部件组成。</w:t>
            </w:r>
          </w:p>
          <w:p w14:paraId="169349BF">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val="0"/>
                <w:bCs w:val="0"/>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1）主轴1根，材料：45#钢，规格：Ø25x196mm，精度：IT6级，粗糙度≤3.2μm。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2）透盖1个，材料：45#钢，规格：Ø65x17.5mm，精度：IT7级，粗糙度≤3.2μm。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3）马达侧座1个，材料：45#钢，规格：110x30x75mm，精度：IT7级，粗糙度≤3.2μm。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4）叶轮侧座1个，材料：45#钢，规格：110x20x75mm，精度：IT7级，粗糙度≤3.2μm。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5）机械密封座1个，材料：45#钢，规格：Ø65x20mm，精度：IT7级，粗糙度≤3.2μm。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6）泵浦叶轮1个，材料：45#钢，规格：Ø60x10.5mm，精度：IT7级，粗糙度≤3.2μm。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7）泵浦锥杯1个，材料：45#钢，规格：Ø25x6mm，粗糙度≤3.2μm。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8）VA水封2个，材料：丁腈橡胶，规格：VA-16，精度：IT7级。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9）骨架油封1个，材料：丁腈橡胶，规格：Ø15xØ35x7mm，精度：IT7级。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10）骨架油封1个，材料：丁腈橡胶，规格：Ø16xØ35x7mm，精度：IT7级。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12）轴用弹性挡圈1个，材料：弹簧钢，规格：A型 Ø15mm，精度：IT7级。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13）圆螺母用止动垫圈，材料：Q235钢，规格：Ø20mm，精度：IT7级。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14）圆螺母1个，材料：45#钢，规格：M20x1.5，精度：IT7级。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15）深沟球轴承1个，材料：轴承钢，规格：6202，精度：IT6级。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16）角接触球轴承1对，材料：轴承钢，规格：7004C，精度：IT6级。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17）O型圈1个，材料：丁腈橡胶，规格：Ø40x2.65mm，精度：IT7级。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18）水泵用机械式密1个，材料：弹簧钢，规格：RM108-15，精度：IT7级。</w:t>
            </w:r>
          </w:p>
          <w:p w14:paraId="31958FC6">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lang w:val="zh-CN"/>
              </w:rPr>
              <w:t>）</w:t>
            </w:r>
            <w:r>
              <w:rPr>
                <w:rFonts w:hint="eastAsia" w:ascii="仿宋" w:hAnsi="仿宋" w:eastAsia="仿宋" w:cs="仿宋"/>
                <w:i w:val="0"/>
                <w:iCs w:val="0"/>
                <w:color w:val="000000"/>
                <w:kern w:val="0"/>
                <w:sz w:val="21"/>
                <w:szCs w:val="21"/>
                <w:highlight w:val="none"/>
                <w:u w:val="none"/>
                <w:lang w:val="en-US" w:eastAsia="zh-CN" w:bidi="ar"/>
              </w:rPr>
              <w:t>简易齿轮箱模型</w:t>
            </w:r>
            <w:r>
              <w:rPr>
                <w:rFonts w:hint="eastAsia" w:ascii="仿宋" w:hAnsi="仿宋" w:eastAsia="仿宋" w:cs="仿宋"/>
                <w:sz w:val="21"/>
                <w:szCs w:val="21"/>
                <w:highlight w:val="none"/>
                <w:lang w:val="zh-CN"/>
              </w:rPr>
              <w:t>要求</w:t>
            </w:r>
          </w:p>
          <w:p w14:paraId="0228C4C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主轴、透盖、侧座、简易齿轮、上盖、侧盖、隔环、垫片、轴承套筒、骨架油封、孔用弹性挡圈、孔用弹性挡圈、轴用弹性、挡圈、圆螺母用止动垫圈、圆螺母、圆柱滚子轴承、调心滚子轴承、O型圈等零部件组成。</w:t>
            </w:r>
          </w:p>
          <w:p w14:paraId="4CEAC0B4">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val="0"/>
                <w:bCs w:val="0"/>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1）主轴1根，材料：45#钢，规格：Ø25x135mm，精度：IT6级，粗糙度≤3.2μm。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2）透盖1个，材料：45#钢，规格：Ø70x14mm，精度：IT7级，粗糙度≤3.2μm。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3）侧座2个，材料：45#钢，规格：110x30x75mm，精度：IT7级，粗糙度≤3.2μm。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4）简易齿轮1个，材料：45#钢，规格：Ø65x25mm，精度：IT7级，粗糙度≤3.2μm。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5）上盖1个，材料：45#钢，规格：83x40x5mm，精度：IT7级，粗糙度≤3.2μm。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6）侧盖1个，材料：45#钢，规格：Ø70x15mm，精度：IT7级，粗糙度≤3.2μm。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7）隔环1个，材料：45#钢，规格：Ø25x6mm，精度：IT7级，粗糙度≤3.2μm。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8）垫片1个，材料：45#钢，规格：Ø35x3mm，精度：IT7级，粗糙度≤3.2μm。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9）轴承套筒1个，材料：45#钢，规格：Ø25x30mm，精度：IT7级，粗糙度≤3.2μm。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10）骨架油封1个，材料：丁腈橡胶，规格：Ø20xØ35x7mm，精度：IT7级。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12）孔用弹性挡圈1个，材料：弹簧钢，规格：A型 Ø52mm，精度：IT7级。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13）轴用弹性挡圈1个，材料：弹簧钢，规格：A型 Ø20mm，精度：IT7级。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14）圆螺母用止动垫圈1个，材料：Q235钢，规格：Ø25mm，精度：IT7级。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15）圆螺母1个，材料：45#钢，规格：M25×1.5，精度：IT7级。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16）圆柱滚子轴承1个，材料：轴承钢，规格：304E，精度：IT6级。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17）调心滚子轴承1个，材料：轴承钢，规格：22205CC/W3，精度：IT6级。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18）O型圈2个，材料：丁腈橡胶，规格：Ø51.5x2.65mm，精度：IT7级。</w:t>
            </w:r>
          </w:p>
          <w:p w14:paraId="4F65E43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val="zh-CN"/>
              </w:rPr>
              <w:t>）</w:t>
            </w:r>
            <w:r>
              <w:rPr>
                <w:rFonts w:hint="eastAsia" w:ascii="仿宋" w:hAnsi="仿宋" w:eastAsia="仿宋" w:cs="仿宋"/>
                <w:i w:val="0"/>
                <w:iCs w:val="0"/>
                <w:color w:val="000000"/>
                <w:kern w:val="0"/>
                <w:sz w:val="21"/>
                <w:szCs w:val="21"/>
                <w:highlight w:val="none"/>
                <w:u w:val="none"/>
                <w:lang w:val="en-US" w:eastAsia="zh-CN" w:bidi="ar"/>
              </w:rPr>
              <w:t>滚珠丝杠滑台模型要求</w:t>
            </w:r>
          </w:p>
          <w:p w14:paraId="1FEA5DF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底板、丝杠副、固定端轴承座、活动端轴承座、直线导轨、滑台顶板、丝杠螺母固定块、滑块垫高块、轴承座调整块、直线导轨限位块、手轮等零部件组成。可完成丝杠轴心线等高、直线导轨间的平行度、滚珠丝杆与直线导轨平行度等的检测及调整实训。</w:t>
            </w:r>
          </w:p>
          <w:p w14:paraId="245F81B6">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val="0"/>
                <w:bCs w:val="0"/>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1）底板1块，材料：45#钢，规格：310x220x20mm，精度：IT7级，粗糙度≤3.2μm。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2）丝杠副1套，材料：304不锈钢，规格：2505，精度：IT6级，粗糙度≤3.2μm。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3）固定端轴承座1个，材料：45#钢，规格：内孔20mm，精度：IT6级，粗糙度≤3.2μm。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4）活动端轴承座1个，材料：45#钢，规格：内孔20mm，精度：IT6级，粗糙度≤3.2μm。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5）直线导轨2根，材料：不锈钢钢，规格：12C，长度220mm，精度：IT6级，粗糙度≤3.2μm。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6）滑台顶板1块，材料：45#钢，规格：210x80x10mm，精度：IT7级，粗糙度≤3.2μm。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7）丝杠螺母固定块1个，材料：45#钢，规格：62x40x49mm，精度：IT7级，粗糙度≤3.2μm。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8）滑块垫高块2个，材料：45#钢，规格：40x35x47mm，精度：IT7级，粗糙度≤3.2μm。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9）轴承座调整块4个，材料：45#钢，规格：26x15x55mm，精度：IT7级，粗糙度≤3.2μm。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10）直线导轨限位块2个，材料：丁腈橡胶，规格：20x10x12mm，精度：IT7级。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11）手轮1个，材料：45#钢，规格：Ø80mmmm，精度：IT7级，粗糙度≤3.2μm。</w:t>
            </w:r>
          </w:p>
          <w:p w14:paraId="4A393E11">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val="0"/>
                <w:bCs w:val="0"/>
                <w:sz w:val="21"/>
                <w:szCs w:val="21"/>
                <w:highlight w:val="none"/>
                <w:lang w:val="zh-CN"/>
              </w:rPr>
            </w:pPr>
          </w:p>
          <w:p w14:paraId="05B3EDE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val="zh-CN"/>
              </w:rPr>
              <w:t>）</w:t>
            </w:r>
            <w:r>
              <w:rPr>
                <w:rFonts w:hint="eastAsia" w:ascii="仿宋" w:hAnsi="仿宋" w:eastAsia="仿宋" w:cs="仿宋"/>
                <w:i w:val="0"/>
                <w:iCs w:val="0"/>
                <w:color w:val="000000"/>
                <w:kern w:val="0"/>
                <w:sz w:val="21"/>
                <w:szCs w:val="21"/>
                <w:highlight w:val="none"/>
                <w:u w:val="none"/>
                <w:lang w:val="en-US" w:eastAsia="zh-CN" w:bidi="ar"/>
              </w:rPr>
              <w:t>机床主轴模型</w:t>
            </w:r>
            <w:r>
              <w:rPr>
                <w:rFonts w:hint="eastAsia" w:ascii="仿宋" w:hAnsi="仿宋" w:eastAsia="仿宋" w:cs="仿宋"/>
                <w:sz w:val="21"/>
                <w:szCs w:val="21"/>
                <w:highlight w:val="none"/>
                <w:lang w:val="zh-CN"/>
              </w:rPr>
              <w:t>要求</w:t>
            </w:r>
          </w:p>
          <w:p w14:paraId="2A625DB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主要由模拟主轴、轴承（角接触轴承和深沟球轴承两种）及轴承座、轴承座垫块（带调整装置）、芯棒、底板等组成，可由机械传动组件驱动，与滚珠丝杆直线滑台配合实现工件的模拟加工，可完成主轴的轴向窜动、径向跳动的检测及调整实训。</w:t>
            </w:r>
          </w:p>
          <w:p w14:paraId="079B0A79">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zh-CN" w:eastAsia="zh-CN" w:bidi="ar"/>
              </w:rPr>
            </w:pPr>
            <w:r>
              <w:rPr>
                <w:rFonts w:hint="eastAsia" w:ascii="仿宋" w:hAnsi="仿宋" w:eastAsia="仿宋" w:cs="仿宋"/>
                <w:i w:val="0"/>
                <w:iCs w:val="0"/>
                <w:color w:val="000000"/>
                <w:kern w:val="0"/>
                <w:sz w:val="21"/>
                <w:szCs w:val="21"/>
                <w:highlight w:val="none"/>
                <w:u w:val="none"/>
                <w:lang w:val="en-US" w:eastAsia="zh-CN" w:bidi="ar"/>
              </w:rPr>
              <w:t>1）底板1块，材料：6063铝合金，规格：180x210x12mm，精度，IT7级，粗糙度≤3.2μm。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2）主轴1根，材料：45#钢，规格：Ø32x202mm，精度：IT6级，粗糙度≤3.2μm。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3）固定端轴承座1个，材料：6063铝合金，规格：25mm，精度：IT6级。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4）活动端轴承座1个，材料：6063铝合金，规格：25mm，精度：IT6级。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5）固定端轴承座垫块1个，材料：6063铝合金，规格：160x42x75mm，精度：IT7级。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6）活动端轴承座垫块1个，材料：6063铝合金，规格：160x30x75mm，精度：IT7级。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7）轴承座调整块4个，材料：6063铝合金，规格：30x15x35mm，精度：IT7级。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8）三爪卡盘固定法兰1个，材料：6063铝合金，规格：Ø80x45mm，精度：IT7级。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9）三爪卡盘1个，材料：6063铝合金，规格：手动联动80mm，精度：IT7级。</w:t>
            </w:r>
          </w:p>
          <w:p w14:paraId="2E17FCF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lang w:val="zh-CN"/>
              </w:rPr>
              <w:t>）</w:t>
            </w:r>
            <w:r>
              <w:rPr>
                <w:rFonts w:hint="eastAsia" w:ascii="仿宋" w:hAnsi="仿宋" w:eastAsia="仿宋" w:cs="仿宋"/>
                <w:i w:val="0"/>
                <w:iCs w:val="0"/>
                <w:color w:val="000000"/>
                <w:kern w:val="0"/>
                <w:sz w:val="21"/>
                <w:szCs w:val="21"/>
                <w:highlight w:val="none"/>
                <w:u w:val="none"/>
                <w:lang w:val="en-US" w:eastAsia="zh-CN" w:bidi="ar"/>
              </w:rPr>
              <w:t>自动铣削加工工作站</w:t>
            </w:r>
            <w:r>
              <w:rPr>
                <w:rFonts w:hint="eastAsia" w:ascii="仿宋" w:hAnsi="仿宋" w:eastAsia="仿宋" w:cs="仿宋"/>
                <w:sz w:val="21"/>
                <w:szCs w:val="21"/>
                <w:highlight w:val="none"/>
                <w:lang w:val="zh-CN"/>
              </w:rPr>
              <w:t>要求</w:t>
            </w:r>
          </w:p>
          <w:p w14:paraId="673AF23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宋体" w:hAnsi="宋体" w:eastAsia="宋体" w:cs="宋体"/>
                <w:b/>
                <w:bCs/>
                <w:i w:val="0"/>
                <w:iCs w:val="0"/>
                <w:color w:val="FF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主要由电磁离合器、万向联轴器、角接触球轴承、深沟球轴承、圆锥滚子轴承、滚珠丝杠副及直线导轨运动、锥齿轮副传动、花键轴传动、齿轮齿条传动、刀套、铣刀、料槽、自定心虎钳、工件、光电传感器、便携式吸尘器等组成，即可与传动系统配合实现零件的铣削加工，也可进行模块的装调实训。</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中标人在中标公告发布后3个工作日内提供样机演示，不提供或演示不通过采购人可取消其中标资格。</w:t>
            </w:r>
          </w:p>
          <w:p w14:paraId="5D5C279C">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jc w:val="both"/>
              <w:textAlignment w:val="auto"/>
              <w:outlineLvl w:val="9"/>
              <w:rPr>
                <w:rFonts w:hint="eastAsia" w:ascii="仿宋" w:hAnsi="仿宋" w:eastAsia="仿宋" w:cs="仿宋"/>
                <w:b w:val="0"/>
                <w:bCs w:val="0"/>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1）电磁离合器1套，材料：45#钢，规格：DLD6-20A。</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2）万向联轴器1个，材料：6063铝合金，规格：25x120mm-8mm-10mm，精度：IT7级。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3）角接触球轴承5对，材料：轴承钢，规格：7004C/DB，精度：IT6级，粗糙度≤3.2μm。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4）深沟球轴承2个，材料：轴承钢，规格：6001，6004各一个，精度：IT6级，粗糙度≤3.2μm。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5）圆锥滚子轴承2个，材料：轴承钢，规格：329/22，32904各一个，精度：IT6级，粗糙度≤3.2μm。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6）滚珠丝杠1副，材料：304不锈钢，规格：1202-DFC7-291-P0-0.05，精度：IT6级，粗糙度≤3.2μm。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7）直线导轨1副，材料：304不锈钢，规格：15C，长度230mm，精度：IT6级，粗糙度≤3.2μm。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8）锥齿轮1对，材料：45#钢，规格：m=2，Z=30，Z=50，内孔径d=14mm，精度：IT7级，粗糙度≤3.2μm。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9）花键轴1根，材料：45#钢，规格：Ø14x250mm，精度：IT6级，粗糙度≤3.2μm。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10）齿轮1个，材料：45#钢，规格：m=1，Z=25，内孔径d=14mm，精度：IT6级，粗糙度≤3.2μm。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11）齿条1根，材料：45#钢，规格：m=1，Ø60x59mm，精度：IT6级，粗糙度≤3.2μm。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12）刀套1个，材料：45#钢，规格：16mm，精度：IT6级。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13）铣刀5把，材料：钨钢，规格：6x18x6Dx50，精度：IT6级。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14）料槽1个，材料：304不锈钢钢，规格：120x194mm，精度：IT12级。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15）自定心虎钳1个，材料：45#钢，规格：H54,可夹持8-55mm。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16）工件20个，材料：电木，规格：54x30x15mm，精度：IT6级。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17）光电传感器2个，材料：ABS，规格：674WR。</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18）便携式吸尘器1个，材料：ABS，规格：超级快充，配套、加长软管、加长扁长嘴。</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19）装调套筒、滑块1套，材料：45#钢，规格：与铣削加工模型配套，精度：IT7级。</w:t>
            </w:r>
          </w:p>
          <w:p w14:paraId="1214DEB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rPr>
              <w:t>6</w:t>
            </w:r>
            <w:r>
              <w:rPr>
                <w:rFonts w:hint="eastAsia" w:ascii="仿宋" w:hAnsi="仿宋" w:eastAsia="仿宋" w:cs="仿宋"/>
                <w:sz w:val="21"/>
                <w:szCs w:val="21"/>
                <w:highlight w:val="none"/>
                <w:lang w:val="zh-CN"/>
              </w:rPr>
              <w:t>.智能化监测及负载模块</w:t>
            </w:r>
          </w:p>
          <w:p w14:paraId="34C592FF">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kern w:val="2"/>
                <w:sz w:val="21"/>
                <w:szCs w:val="21"/>
                <w:highlight w:val="none"/>
                <w:lang w:val="zh-CN" w:eastAsia="zh-CN" w:bidi="ar-SA"/>
              </w:rPr>
              <w:t>（1）</w:t>
            </w:r>
            <w:r>
              <w:rPr>
                <w:rFonts w:hint="eastAsia" w:ascii="仿宋" w:hAnsi="仿宋" w:eastAsia="仿宋" w:cs="仿宋"/>
                <w:sz w:val="21"/>
                <w:szCs w:val="21"/>
                <w:highlight w:val="none"/>
                <w:lang w:val="zh-CN"/>
              </w:rPr>
              <w:t>控制器</w:t>
            </w:r>
          </w:p>
          <w:p w14:paraId="6896173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输入电压范围85～264VAC，集成PROFINET（10/100 Mbit/s）、RS485（最大至187.5 Mbps）通信接口，数据存储器≥8192Byte,可用电源24VDC/300mA，指令运行时间最快可至0.15us。</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开关量输入电压DC24V,标准输入端输入延迟时间可编程设置，输入信号响应时间可至0.2ms。开关量输出端的通断能力阻性负载可至2A，交流感性负载可至200W，开关频率可至1Hz。</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模拟量输入输出信号类型可编程设置，模拟量输入分辨率12位，最大耐压/耐流35V/40mA,精度可至满量程的±0.2%；模拟量输出分辨率11位，精度可至满量程±0.5%，电压负载阻抗≥1000Ω、电流负载阻抗≤500Ω。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（2）电源控制接口</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具有电磁离合器、光电传感器、加载部件、三相交流驱动电机、单相AC220V交流电源等控制接口。单相交流电源接口具有欠压及过压自动检测保护功能，保护范围165V～270V,故障后可自动复位，无需人工操作，复位时间≥25±5s,设有电源、保护状态指示灯，方便观察工作状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（3）负载部件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配套安装支架，可与上位机监控系统配合，实现传动系统可调加载。</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Times New Roman"/>
                <w:sz w:val="22"/>
                <w:szCs w:val="22"/>
                <w:highlight w:val="none"/>
              </w:rPr>
              <w:t>★</w:t>
            </w:r>
            <w:r>
              <w:rPr>
                <w:rFonts w:hint="eastAsia" w:ascii="仿宋" w:hAnsi="仿宋" w:eastAsia="仿宋" w:cs="仿宋"/>
                <w:i w:val="0"/>
                <w:iCs w:val="0"/>
                <w:color w:val="000000"/>
                <w:kern w:val="0"/>
                <w:sz w:val="21"/>
                <w:szCs w:val="21"/>
                <w:highlight w:val="none"/>
                <w:u w:val="none"/>
                <w:lang w:val="en-US" w:eastAsia="zh-CN" w:bidi="ar"/>
              </w:rPr>
              <w:t>（4）上位机监控系统</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可实现传动系统的加载控制、驱动电机的电源及转速控制及系统工作状态的监控等功能</w:t>
            </w:r>
            <w:r>
              <w:rPr>
                <w:rFonts w:hint="eastAsia" w:ascii="仿宋" w:hAnsi="仿宋" w:eastAsia="仿宋" w:cs="仿宋"/>
                <w:sz w:val="21"/>
                <w:szCs w:val="21"/>
                <w:highlight w:val="none"/>
                <w:lang w:val="zh-CN"/>
              </w:rPr>
              <w:t>。</w:t>
            </w:r>
            <w:r>
              <w:rPr>
                <w:rFonts w:hint="eastAsia" w:ascii="仿宋" w:hAnsi="仿宋" w:eastAsia="仿宋" w:cs="仿宋"/>
                <w:b/>
                <w:bCs/>
                <w:sz w:val="21"/>
                <w:szCs w:val="21"/>
                <w:highlight w:val="none"/>
                <w:lang w:val="zh-CN"/>
              </w:rPr>
              <w:t>响应文件中提供系统功能截图。</w:t>
            </w:r>
          </w:p>
          <w:p w14:paraId="55B93C4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（5）控制及显示终端</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1）监控终端</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显示尺寸≥15英寸，分辨率1024*768，内存≥8G，存储器≥128G，铝合金结构设计。支持多点触摸，定位精度不低于3mm。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2）悬臂支架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双臂调节、气压旋停，具有高低升降、左右旋转、前后伸缩、倾仰调节功能，支持17-35英寸显示器，承重3-12kg,升降高度195mm,拉伸距离100-445mm,俯仰角度+85º/-30º,水平旋转360º。</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3）内置配套教材资源和配套测量软件</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4）配装快动按钮、急停按钮、三位旋钮、照明开关等指令按钮</w:t>
            </w:r>
            <w:r>
              <w:rPr>
                <w:rFonts w:hint="eastAsia" w:ascii="仿宋" w:hAnsi="仿宋" w:eastAsia="仿宋" w:cs="仿宋"/>
                <w:sz w:val="21"/>
                <w:szCs w:val="21"/>
                <w:highlight w:val="none"/>
                <w:lang w:val="zh-CN"/>
              </w:rPr>
              <w:t>。</w:t>
            </w:r>
          </w:p>
          <w:p w14:paraId="61EFF43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8.赛训一体数字化教学管理系统（1套/批）</w:t>
            </w:r>
          </w:p>
          <w:p w14:paraId="354F316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系统包含日常训练、赛项模拟、成绩查看、赛项议程、专家库、实训管理等功能。强调在教学过程中将学习、实训和竞赛三个环节有机整合。赛训一体化教学创新模式结合了信息化技术和赛训课程管理内容，可用于院校日常实训课程管理、学业测评、技能鉴定考核等。通过赛训一体激发学生学习的兴趣，提高学生的专业技能、创新能力、团队协作能力等多方面能力。同时为便于用户的访问与操作，以下功能需在同一平台内，不接受各软件子系统采用不同厂商产品集成运用的解决方案，以免影响系统的整体兼容性、稳定性以及造成项目维护升级的不便利性。</w:t>
            </w:r>
          </w:p>
          <w:p w14:paraId="63F2CB1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（1）赛课系统要求</w:t>
            </w:r>
          </w:p>
          <w:p w14:paraId="4E2A00A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1）赛道管理：根据赛事实际情况创建对应赛道，并以列表形式呈现赛道信息（如：赛道名称、赛道介绍、创建时间、赛道状态等）；</w:t>
            </w:r>
          </w:p>
          <w:p w14:paraId="009F6B1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2）赛项管理：支持赛事的赛项管理，支持创建自定义赛项并以列表呈现赛项信息（如：赛项名称、赛项介绍、开始时间、结束时间、创建时间、赛项状态）；并可以按照组织架构批量导入参赛人员；</w:t>
            </w:r>
          </w:p>
          <w:p w14:paraId="0E02C93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仿宋"/>
                <w:sz w:val="21"/>
                <w:szCs w:val="21"/>
                <w:highlight w:val="none"/>
                <w:lang w:val="zh-CN"/>
              </w:rPr>
              <w:t>3）活动管理：系统可实现学校活动的管理，并以列表形式列出创建的活动信息（如：活动名称、活动简介、开始时间、结束时间、报名人数、创建时间、活动状态）；并且可以查看报名人员列表的信息 （如：工号、姓名、手机、所属学院）；支持报名人员信息以excel的格式批量导入并提供导入模板。</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中标人在中标公告发布后3个工作日内，须提供功能演示视频给采购人核查</w:t>
            </w:r>
            <w:r>
              <w:rPr>
                <w:rFonts w:hint="eastAsia" w:ascii="仿宋" w:hAnsi="仿宋" w:eastAsia="仿宋" w:cs="仿宋"/>
                <w:b/>
                <w:bCs/>
                <w:sz w:val="20"/>
                <w:szCs w:val="20"/>
                <w:highlight w:val="none"/>
                <w:lang w:val="zh-CN"/>
              </w:rPr>
              <w:t>）</w:t>
            </w:r>
          </w:p>
          <w:p w14:paraId="0C5B725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4）赛事评委：系统默认需包含赛事评委的角色，支持给用户设定角色；</w:t>
            </w:r>
          </w:p>
          <w:p w14:paraId="2B843FB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5）合作机构：系统需支持合作机构的管理，并以列表形式呈现合作机构信息（如：机构名称、跳转链接、创建时间、状态等）。</w:t>
            </w:r>
          </w:p>
          <w:p w14:paraId="78D3C6F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仿宋"/>
                <w:sz w:val="21"/>
                <w:szCs w:val="21"/>
                <w:highlight w:val="none"/>
                <w:lang w:val="zh-CN"/>
              </w:rPr>
              <w:t>6）专家资源：支持拥有赛事评委角色的用户发起专家资格申请，系统通过审核实现专家库的添加；同时需支持添加专家，并以列表的形式呈现专家信息（如：专家名称、专家手机、专家职称、专家来源、入库时间、状态等）；支持专家信息以excel的格式批量导入并提供导入模板。</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中标人在中标公告发布后3个工作日内，须提供功能演示视频给采购人核查。</w:t>
            </w:r>
            <w:r>
              <w:rPr>
                <w:rFonts w:hint="eastAsia" w:ascii="仿宋" w:hAnsi="仿宋" w:eastAsia="仿宋" w:cs="仿宋"/>
                <w:b/>
                <w:bCs/>
                <w:sz w:val="20"/>
                <w:szCs w:val="20"/>
                <w:highlight w:val="none"/>
                <w:lang w:val="zh-CN"/>
              </w:rPr>
              <w:t>）</w:t>
            </w:r>
          </w:p>
          <w:p w14:paraId="3527E6E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lang w:val="zh-CN"/>
              </w:rPr>
            </w:pPr>
            <w:r>
              <w:rPr>
                <w:rFonts w:hint="eastAsia" w:ascii="仿宋" w:hAnsi="仿宋" w:eastAsia="仿宋" w:cs="仿宋"/>
                <w:sz w:val="21"/>
                <w:szCs w:val="21"/>
                <w:highlight w:val="none"/>
                <w:lang w:val="zh-CN"/>
              </w:rPr>
              <w:t>7）理论在线考核：提供单选、多选、判断等题型及答案解析的录入；组卷规则：可配置各类题型、分值，师生考试时候可根据所选题库中的题目组卷；同时融入智能AI技术，AI组卷：系统需支持将PDF、Word、ppt等多种格式的文件转换为自然语言，并支持根据得到的自然语言一键出题，且需支持多种题目类型的生成，至少包括单选题、多选题、判断题；生成的题目需支持一键导入到题库，方便教师组卷；系统需自动把选手的成绩按名次排序；数据大屏支持自定义显示前几名人员的信息，头像等；系统需支持考试信息以列表的形式呈现，包括人员、考试次数、分数、是否通过、考试时间等信息；并且支持一键导出考试明细，方便教师对考试成绩进行统计。</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中标人在中标公告发布后2个工作日内，须提供功能演示视频给采购人核查。</w:t>
            </w:r>
            <w:r>
              <w:rPr>
                <w:rFonts w:hint="eastAsia" w:ascii="仿宋" w:hAnsi="仿宋" w:eastAsia="仿宋" w:cs="仿宋"/>
                <w:b/>
                <w:bCs/>
                <w:sz w:val="20"/>
                <w:szCs w:val="20"/>
                <w:highlight w:val="none"/>
                <w:lang w:val="zh-CN"/>
              </w:rPr>
              <w:t>）</w:t>
            </w:r>
          </w:p>
          <w:p w14:paraId="0ECCB67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8）实操评分系统：系统需支持对赛项实操成绩手动录入和批量导入，并且排名数据需支持以列表的形式，包括名次、姓名、工号、得分、评委评分详情等数据；系统需支持管理员自定义计分方式，计分方式包含求平均值、去掉最高分最低分求平均值等方式；系统需支持根据计分方式自动把选手的成绩按名次排序；数据大屏支持自定义显示前几名人员的信息，头像等；系统支持赛项成绩一键导出到EXCEL。</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中标人在中标公告发布后3个工作日内，须提供功能演示视频给采购人核查。</w:t>
            </w:r>
            <w:r>
              <w:rPr>
                <w:rFonts w:hint="eastAsia" w:ascii="仿宋" w:hAnsi="仿宋" w:eastAsia="仿宋" w:cs="仿宋"/>
                <w:b/>
                <w:bCs/>
                <w:sz w:val="20"/>
                <w:szCs w:val="20"/>
                <w:highlight w:val="none"/>
                <w:lang w:val="zh-CN"/>
              </w:rPr>
              <w:t>）</w:t>
            </w:r>
          </w:p>
          <w:p w14:paraId="2B3C171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9）数据统计：通过管理平台大数据分析、统计功能将赛项管理、实训管理、理论考核成绩排行、实操考核成绩排行、赛事完成率、赛事未完成率、理论实操平均分等数据进行综合统计分析，棒图显示，形成物联综合大数据并以可视化形式展示，以供参观、决策使用。</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中标人在中标公告发布后3个工作日内，须提供功能演示视频给采购人核查。</w:t>
            </w:r>
            <w:r>
              <w:rPr>
                <w:rFonts w:hint="eastAsia" w:ascii="仿宋" w:hAnsi="仿宋" w:eastAsia="仿宋" w:cs="仿宋"/>
                <w:b/>
                <w:bCs/>
                <w:sz w:val="20"/>
                <w:szCs w:val="20"/>
                <w:highlight w:val="none"/>
                <w:lang w:val="zh-CN"/>
              </w:rPr>
              <w:t>）</w:t>
            </w:r>
          </w:p>
          <w:p w14:paraId="4F49A90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（2）管理系统</w:t>
            </w:r>
            <w:r>
              <w:rPr>
                <w:rFonts w:hint="eastAsia" w:ascii="仿宋" w:hAnsi="仿宋" w:eastAsia="仿宋" w:cs="仿宋"/>
                <w:b/>
                <w:bCs/>
                <w:sz w:val="20"/>
                <w:szCs w:val="20"/>
                <w:highlight w:val="none"/>
                <w:lang w:val="zh-CN"/>
              </w:rPr>
              <w:t>（</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中标人在中标公告发布后3个工作日内，须提供功能演示视频给采购人核。</w:t>
            </w:r>
            <w:r>
              <w:rPr>
                <w:rFonts w:hint="eastAsia" w:ascii="仿宋" w:hAnsi="仿宋" w:eastAsia="仿宋" w:cs="仿宋"/>
                <w:b/>
                <w:bCs/>
                <w:sz w:val="20"/>
                <w:szCs w:val="20"/>
                <w:highlight w:val="none"/>
                <w:lang w:val="zh-CN"/>
              </w:rPr>
              <w:t>）</w:t>
            </w:r>
          </w:p>
          <w:p w14:paraId="5CB812B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1）实训方案管理：根据实训教学安排，创建对应的实训方案，并以列表形式呈现实训信息（如：方案标题、方案内容、实训目标、负责人、开始时间、结束时间等）；</w:t>
            </w:r>
          </w:p>
          <w:p w14:paraId="6E38769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2）实训资源管理：可实现实训课程对应的实训资源管理，以列表形式列出所选实训课程的课件资源信息（如：资源名称、资源类型、创建人、状态、创建时间等）可实现实训资源移动端查看，师生可在微信小程序点击查看相关资源；</w:t>
            </w:r>
          </w:p>
          <w:p w14:paraId="0D6E46E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3）实训学生管理：可实现实训课程对应的学生管理，并以列表形式呈现学生信息（如：工号、学生姓名、邮箱、手机等）；</w:t>
            </w:r>
          </w:p>
          <w:p w14:paraId="1B3F169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4）实训考勤：支持教师在实训时间内通过微信小程序查看考勤二维码，学生可通过微信扫描考勤二维码完成考勤；支持按时间段查看学生考勤信息，并批量导入考勤信息（如工号、日期、姓名、部门、状态）。</w:t>
            </w:r>
          </w:p>
          <w:p w14:paraId="242EC55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w:t>
            </w:r>
            <w:r>
              <w:rPr>
                <w:rFonts w:hint="eastAsia" w:ascii="仿宋" w:hAnsi="仿宋" w:eastAsia="仿宋" w:cs="仿宋"/>
                <w:i w:val="0"/>
                <w:iCs w:val="0"/>
                <w:color w:val="000000"/>
                <w:kern w:val="0"/>
                <w:sz w:val="21"/>
                <w:szCs w:val="21"/>
                <w:highlight w:val="none"/>
                <w:u w:val="none"/>
                <w:lang w:val="en-US" w:eastAsia="zh-CN" w:bidi="ar"/>
              </w:rPr>
              <w:t>数字装调检测套件</w:t>
            </w:r>
          </w:p>
          <w:p w14:paraId="4C011A6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宋体" w:hAnsi="宋体" w:eastAsia="宋体" w:cs="宋体"/>
                <w:b/>
                <w:bCs/>
                <w:color w:val="FF0000"/>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数字装调检测的内容包含平行度、垂直度、错位平行度、同面垂直度等，配有V型夹具表座移动机构、快锁机构、液压万向表座、数显仪表、无线通信发送模块、无线通信接收模块、测量软件等，可实现数字化装调检测、实时数据传输或点动记录，具有数据存储和报告导成。（</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中标人在中标公告发布后3个工作日内提供样机演示，不提供或演示不通过采购人可取消其中标资格。</w:t>
            </w:r>
            <w:r>
              <w:rPr>
                <w:rFonts w:hint="eastAsia" w:ascii="仿宋" w:hAnsi="仿宋" w:eastAsia="仿宋" w:cs="仿宋"/>
                <w:i w:val="0"/>
                <w:iCs w:val="0"/>
                <w:color w:val="000000"/>
                <w:kern w:val="0"/>
                <w:sz w:val="21"/>
                <w:szCs w:val="21"/>
                <w:highlight w:val="none"/>
                <w:u w:val="none"/>
                <w:lang w:val="en-US" w:eastAsia="zh-CN" w:bidi="ar"/>
              </w:rPr>
              <w:t>）</w:t>
            </w:r>
          </w:p>
          <w:p w14:paraId="6675B50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具体参数如下：</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垂直度测量检具：</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（1）底座尺寸(LxWxH)：100x60x70mm（2）适用圆柱直径(φd)：20mm（3）测量长度：45mm（4）精度 ：≤0.008mm（5）重复性：0.01mm（6）符合生产厂企业标准（7）可夹持圆柱形工件用于检验两轴平行度（8）表面淬火（9）底座V形槽适用于圆柱形工件（10）响应文件须提供检具效果图或实物图片、配套软件截图等。</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平行度测量检具：</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（1）底座尺寸(LxWxH)：100x60x70mm（2）适用圆柱直径(φd)：20mm（3）测量长度：45mm（4）精度 ： ≤0.008mm（5）重复性：0.01mm（6）符合生产厂企业标准（7）可夹持圆柱形工件用于检验两轴垂直度（8）表面淬火（9）底座V形槽适用于圆柱形工件（10）响应文件须提供检具效果图或实物图片、配套软件截图等。</w:t>
            </w:r>
          </w:p>
          <w:p w14:paraId="699161E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zh-CN"/>
              </w:rPr>
              <w:t>配件（含工具及量具）</w:t>
            </w:r>
          </w:p>
          <w:p w14:paraId="73B862E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（1）工具</w:t>
            </w:r>
          </w:p>
          <w:p w14:paraId="2A49AB1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主要工具有橡胶锤、铁锤、紫铜棒、内六角扳手、扭力扳手、皮带扳手、活扳手等；主要量具有钢直尺、卷尺、数显游标卡尺、百分表（带万向磁力表座）、塞尺、笔式皮带张力计等</w:t>
            </w:r>
            <w:r>
              <w:rPr>
                <w:rFonts w:hint="eastAsia" w:ascii="仿宋" w:hAnsi="仿宋" w:eastAsia="仿宋" w:cs="仿宋"/>
                <w:sz w:val="21"/>
                <w:szCs w:val="21"/>
                <w:highlight w:val="none"/>
                <w:lang w:val="zh-CN"/>
              </w:rPr>
              <w:t>。</w:t>
            </w:r>
          </w:p>
          <w:p w14:paraId="08801B3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1）橡胶锤，16oz，1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2）铁锤，规格：1 磅，全长 L≥320mm；1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3）紫铜棒，Ø14-Ø18/250mm，1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4）内六角扳手，9 件套，加长球头，1 套；  参考品牌：得力、绿林、世达、史丹利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5）开口扳手套组，8件全抛光双开口，（5.5×7-22×24），1套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6）扭力扳手，扭力范围不小于 5-25N·m，驱动头 3/8"，1 套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7）力扳手延长杆，150mm，1 把  参考品牌：得力、绿林、世达、史丹利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8）棘轮套筒扳手套装，棘轮套筒扳手，8"，60 齿设计，内六角套筒共7件，旋具头采用高级合金钢整体淬火，3mm-10mm，1套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9）皮带扳手，可调式橡皮带，15-150mm，1把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10）截链器，适用 08B 单、双排链，1 把  参考品牌：得力、绿林、世达、工匠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11）紧链器，25-60，1把  参考品牌：得力、绿林、世达、工匠</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12）内卡簧钳，7寸,卡簧范围19-60mm，尖端直径Ø1.8mm，1把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13）外卡簧钳，5寸,卡簧范围10-22mm，尖端直径Ø1.3mm，1把；7寸,卡簧范围19-60mm,尖端直径Ø1.8mm，1把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14）板锉，6 寸，1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15）什锦锉，整长≧5×180mm,工作面长：70mm,包含平头扁锉、尖头半圆锉、尖头方锉、尖头等边三角锉、尖头圆锉各1件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16）螺丝刀，一字、十字各 1 把，1 套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17）钩头扳手，38-42、45-52，各1把 参考品牌：得力、绿林、世达、工匠</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18）尖嘴钳，6 寸，1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19）二爪拉马，6 寸，1 只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20）黄油枪，工作压力4500PSI,出油量 1 oz./40次按压，1把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21）油枪（含机油），250ml，1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22）不锈钢调整垫片 A 型，6 种厚度规格（0.02mm、0.03mm、0.05mm、0.1mm、0.15mm、0.2mm 、0.3mm、0.5mm、1.0mm）， 每种各 10 片 参考品牌：仪迈、世达、得力、史丹利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23）活动扳手，1 把，10 寸  参考品牌：得力、绿林、世达、史丹利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24）活动扳手，1 把，12 寸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25）平行度测量套装，1 套   参考品牌：仪迈、上银、世达、得力</w:t>
            </w:r>
          </w:p>
          <w:p w14:paraId="1474D8E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lang w:val="zh-CN"/>
              </w:rPr>
              <w:t>量具</w:t>
            </w:r>
          </w:p>
          <w:p w14:paraId="073B3AE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zh-CN"/>
              </w:rPr>
            </w:pPr>
            <w:r>
              <w:rPr>
                <w:rFonts w:hint="eastAsia" w:ascii="仿宋" w:hAnsi="仿宋" w:eastAsia="仿宋" w:cs="仿宋"/>
                <w:i w:val="0"/>
                <w:iCs w:val="0"/>
                <w:color w:val="000000"/>
                <w:kern w:val="0"/>
                <w:sz w:val="21"/>
                <w:szCs w:val="21"/>
                <w:highlight w:val="none"/>
                <w:u w:val="none"/>
                <w:lang w:val="en-US" w:eastAsia="zh-CN" w:bidi="ar"/>
              </w:rPr>
              <w:t>1）钢直尺，0-500mm，1 把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2）卷尺，3 米，1 把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3）组合角尺，300mm，1 把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4）刀口角尺，50x80，1 把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5）角尺，60x60x300，1 把  参考品牌：得力、世达、英示、绿林</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6）数显游标卡尺，0-150mm，1 把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7）游标卡尺，0-500mm，1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8）百分表，0-10mm，1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9）杠杠百分表，0-0.8mm，分度值 0.01mm，1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10）万向磁力表座， 夹持孔径φ8mm，1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11）袖珍磁力表座，夹持孔径φ8mm 带燕尾，1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12）平测头（钢），D=20mm，1 个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13）塞尺，0.02-1.00mm，1 套 参考品牌：得力、哈量、英示、成量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14）笔式皮带张力计，≥130N，1 把  参考品牌：得力、哈量、英示、成量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15）测速仪，支持 3 种测速模式，1 套  参考品牌：优利德、胜利、特安斯、世达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16）红外线测温仪，1 套   参考品牌：优利德、胜利、特安斯、世达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17）针规，材料:GCr15,粗糙度0.20um，直径3.000mm，长度50mm，1根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18）针规，材料:GCr15,粗糙度0.20um，直径4.000mm，长度50mm，1根   参考品牌：上工、哈量、英示、成量</w:t>
            </w:r>
          </w:p>
          <w:p w14:paraId="242C2D0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10.实训室教师端布置一套智擎Pro多模态交互平台</w:t>
            </w:r>
          </w:p>
          <w:p w14:paraId="21D3E80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采用多模态智能引擎架构，支持DeepSeek、Qwen、豆包等主流大模型无缝接入，结合私有化RAG（检索增强生成）引擎与动态微调技术，构建可扩展的认知计算中枢。通过Web/移动多端智能适配，提供全栈式AI能力开放接口，实现知识检索与生成能力的深度融合；支持输入输出管理、公有库调用、用户管理、AI题库管理，可以用于基础知识视频学习、实训项目教学指导、样例程序编写、程序纠错、AI出题。</w:t>
            </w:r>
          </w:p>
          <w:p w14:paraId="55C0467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b/>
                <w:bCs/>
                <w:sz w:val="21"/>
                <w:szCs w:val="21"/>
                <w:highlight w:val="none"/>
              </w:rPr>
            </w:pPr>
            <w:r>
              <w:rPr>
                <w:rFonts w:hint="eastAsia" w:ascii="仿宋" w:hAnsi="仿宋" w:eastAsia="仿宋" w:cs="仿宋"/>
                <w:sz w:val="21"/>
                <w:szCs w:val="21"/>
                <w:highlight w:val="none"/>
              </w:rPr>
              <w:t>（1）智能交互中枢：多模态输入系统，支持文本/语音双通道智能识别，集成多方言语音识别引擎。动态意图解析引擎，基于RAG技术实现三级问题聚焦（领域判定→知识库精准检索→模糊问题推荐），关联问题推荐准确率&gt;92%。全媒体内容生成：支持文本/表格/图表/视频的多模态输出</w:t>
            </w:r>
            <w:r>
              <w:rPr>
                <w:rFonts w:hint="eastAsia" w:ascii="仿宋" w:hAnsi="仿宋" w:eastAsia="仿宋" w:cs="仿宋"/>
                <w:sz w:val="21"/>
                <w:szCs w:val="21"/>
                <w:highlight w:val="none"/>
                <w:lang w:eastAsia="zh-CN"/>
              </w:rPr>
              <w:t>。</w:t>
            </w:r>
          </w:p>
          <w:p w14:paraId="6511905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trike/>
                <w:dstrike w:val="0"/>
                <w:color w:val="FF0000"/>
                <w:sz w:val="21"/>
                <w:szCs w:val="21"/>
                <w:highlight w:val="none"/>
              </w:rPr>
            </w:pPr>
            <w:r>
              <w:rPr>
                <w:rFonts w:hint="eastAsia" w:ascii="仿宋" w:hAnsi="仿宋" w:eastAsia="仿宋" w:cs="仿宋"/>
                <w:sz w:val="21"/>
                <w:szCs w:val="21"/>
                <w:highlight w:val="none"/>
              </w:rPr>
              <w:t>（2）工业级RAG知识中枢：公有知识库由管理员后台管理，包含液压与气动类知识库，机电一体化类知识库，工业机器人类知识库，机械与钳工类知识库，数控机床类知识库，制冷与热工类知识库、楼宇与建筑类知识库，电工电子类知识库，超50万条结构化知识单元；智能检索增强引擎采用动态上下文感知技术，支持多模态数据（文档/视频/代码）的语义检索与知识关联。</w:t>
            </w:r>
          </w:p>
          <w:p w14:paraId="5D48994F">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（3）智能评估中枢：可自动输出理论考卷和实操考卷。理论部分支持单选题、多选题、判断题、简答题，单一类型出题，也可混合出题，并输出参考答案，实操部分支持实操任务书和评分表。</w:t>
            </w:r>
          </w:p>
          <w:p w14:paraId="76F0E7E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平台扩展能力：支持混合云RAG架构，兼容主流向量数据库与语义检索框架。提供知识库增量学习接口，支持行业专属知识的低代码快速迭代。内置服务监控看板，实时追踪检索命中率、生成相关性等30+项AI核心指标。</w:t>
            </w:r>
          </w:p>
          <w:p w14:paraId="0DF62C14">
            <w:pPr>
              <w:keepNext w:val="0"/>
              <w:keepLines w:val="0"/>
              <w:pageBreakBefore w:val="0"/>
              <w:widowControl w:val="0"/>
              <w:kinsoku/>
              <w:wordWrap/>
              <w:overflowPunct/>
              <w:topLinePunct w:val="0"/>
              <w:autoSpaceDE/>
              <w:autoSpaceDN/>
              <w:bidi w:val="0"/>
              <w:snapToGrid/>
              <w:spacing w:line="240" w:lineRule="exact"/>
              <w:jc w:val="left"/>
              <w:textAlignment w:val="auto"/>
              <w:rPr>
                <w:rFonts w:hint="eastAsia" w:ascii="仿宋" w:hAnsi="仿宋" w:eastAsia="仿宋" w:cs="Times New Roman"/>
                <w:color w:val="000000"/>
                <w:sz w:val="21"/>
                <w:szCs w:val="21"/>
                <w:highlight w:val="none"/>
              </w:rPr>
            </w:pPr>
            <w:r>
              <w:rPr>
                <w:rFonts w:hint="eastAsia" w:ascii="仿宋" w:hAnsi="仿宋" w:eastAsia="仿宋" w:cs="仿宋"/>
                <w:b/>
                <w:bCs/>
                <w:i w:val="0"/>
                <w:iCs w:val="0"/>
                <w:color w:val="auto"/>
                <w:sz w:val="21"/>
                <w:szCs w:val="21"/>
                <w:highlight w:val="none"/>
                <w:u w:val="none"/>
                <w:lang w:val="en-US" w:eastAsia="zh-CN" w:bidi="ar"/>
              </w:rPr>
              <w:t>（5）中标人在中标公告发布后3个工作日提供样机演示，不提供或演示不通过采购人可取消其中标资格。</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2EE9E41D">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12487A7">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0DE96504">
            <w:pPr>
              <w:jc w:val="center"/>
              <w:rPr>
                <w:rFonts w:ascii="仿宋" w:hAnsi="仿宋" w:eastAsia="仿宋" w:cs="Times New Roman"/>
                <w:color w:val="000000"/>
                <w:sz w:val="24"/>
                <w:highlight w:val="none"/>
              </w:rPr>
            </w:pPr>
          </w:p>
        </w:tc>
      </w:tr>
      <w:tr w14:paraId="3B41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0" w:type="dxa"/>
            <w:vMerge w:val="continue"/>
            <w:tcBorders>
              <w:left w:val="single" w:color="auto" w:sz="4" w:space="0"/>
              <w:right w:val="single" w:color="auto" w:sz="4" w:space="0"/>
            </w:tcBorders>
            <w:noWrap w:val="0"/>
            <w:vAlign w:val="center"/>
          </w:tcPr>
          <w:p w14:paraId="4A4EC27F">
            <w:pPr>
              <w:jc w:val="center"/>
              <w:rPr>
                <w:rFonts w:hint="eastAsia" w:ascii="仿宋" w:hAnsi="仿宋" w:eastAsia="仿宋" w:cs="Times New Roman"/>
                <w:color w:val="000000"/>
                <w:sz w:val="24"/>
                <w:highlight w:val="none"/>
                <w:lang w:val="en-US" w:eastAsia="zh-CN"/>
              </w:rPr>
            </w:pPr>
          </w:p>
        </w:tc>
        <w:tc>
          <w:tcPr>
            <w:tcW w:w="811" w:type="dxa"/>
            <w:vMerge w:val="continue"/>
            <w:tcBorders>
              <w:left w:val="single" w:color="auto" w:sz="4" w:space="0"/>
              <w:right w:val="single" w:color="auto" w:sz="4" w:space="0"/>
            </w:tcBorders>
            <w:noWrap w:val="0"/>
            <w:vAlign w:val="center"/>
          </w:tcPr>
          <w:p w14:paraId="34C8DD65">
            <w:pPr>
              <w:keepNext w:val="0"/>
              <w:keepLines w:val="0"/>
              <w:pageBreakBefore w:val="0"/>
              <w:widowControl w:val="0"/>
              <w:kinsoku/>
              <w:wordWrap/>
              <w:topLinePunct w:val="0"/>
              <w:bidi w:val="0"/>
              <w:snapToGrid/>
              <w:spacing w:line="240" w:lineRule="exact"/>
              <w:jc w:val="center"/>
              <w:rPr>
                <w:rFonts w:hint="eastAsia" w:ascii="仿宋" w:hAnsi="仿宋" w:eastAsia="仿宋" w:cs="Times New Roman"/>
                <w:color w:val="000000"/>
                <w:sz w:val="21"/>
                <w:szCs w:val="21"/>
                <w:highlight w:val="none"/>
                <w:lang w:val="en-US" w:eastAsia="zh-CN"/>
              </w:rPr>
            </w:pPr>
          </w:p>
        </w:tc>
        <w:tc>
          <w:tcPr>
            <w:tcW w:w="7030" w:type="dxa"/>
            <w:tcBorders>
              <w:top w:val="single" w:color="auto" w:sz="4" w:space="0"/>
              <w:left w:val="single" w:color="auto" w:sz="4" w:space="0"/>
              <w:bottom w:val="single" w:color="auto" w:sz="4" w:space="0"/>
              <w:right w:val="single" w:color="auto" w:sz="4" w:space="0"/>
            </w:tcBorders>
            <w:noWrap w:val="0"/>
            <w:vAlign w:val="top"/>
          </w:tcPr>
          <w:p w14:paraId="2EF88C0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三、教学资源（1套/批）</w:t>
            </w:r>
          </w:p>
          <w:p w14:paraId="3929461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1.齿轮范成仿真测试软件要求</w:t>
            </w:r>
          </w:p>
          <w:p w14:paraId="6A7012F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具有齿轮范成相关参数设置选项，内置国标一、二系列模数数据。既可自动计算出齿轮相关参数并自动生成范成轮廓；也可采用手动方式，可以一步步看到整个范成过程。</w:t>
            </w:r>
          </w:p>
          <w:p w14:paraId="365A8AD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2.联轴器对中辅助软件要求</w:t>
            </w:r>
          </w:p>
          <w:p w14:paraId="095E905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联轴器对中辅助软件须至少包含以下功能，</w:t>
            </w:r>
          </w:p>
          <w:p w14:paraId="2882C09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（1）软件支持Android平台；</w:t>
            </w:r>
          </w:p>
          <w:p w14:paraId="0D7E91F6">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（2）公英制单位设置选择；</w:t>
            </w:r>
          </w:p>
          <w:p w14:paraId="61AB978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（3）3D动画界面设计；</w:t>
            </w:r>
          </w:p>
          <w:p w14:paraId="6C48D31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（4）对中步骤引导；</w:t>
            </w:r>
          </w:p>
          <w:p w14:paraId="3DE7DE8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（5）测量数据修正</w:t>
            </w:r>
          </w:p>
          <w:p w14:paraId="5AD8635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（6）夹具挠度补偿</w:t>
            </w:r>
          </w:p>
          <w:p w14:paraId="67249F3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（7）自动计算对中结果、调整量提示。</w:t>
            </w:r>
          </w:p>
          <w:p w14:paraId="0E46BBC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3.数字化立体教材软件平台要求</w:t>
            </w:r>
          </w:p>
          <w:p w14:paraId="46325946">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（1）软件平台应基于云端的开放性平台，采用</w:t>
            </w:r>
            <w:r>
              <w:rPr>
                <w:rFonts w:hint="eastAsia" w:ascii="仿宋" w:hAnsi="仿宋" w:eastAsia="仿宋" w:cs="仿宋"/>
                <w:sz w:val="21"/>
                <w:szCs w:val="21"/>
                <w:highlight w:val="none"/>
              </w:rPr>
              <w:fldChar w:fldCharType="begin"/>
            </w:r>
            <w:r>
              <w:rPr>
                <w:rFonts w:hint="eastAsia" w:ascii="仿宋" w:hAnsi="仿宋" w:eastAsia="仿宋" w:cs="仿宋"/>
                <w:sz w:val="21"/>
                <w:szCs w:val="21"/>
                <w:highlight w:val="none"/>
              </w:rPr>
              <w:instrText xml:space="preserve"> HYPERLINK "https://www.so.com/link?m=aP%2B%2Bw2X9Ir91m8EmodJS%2BKENOUOPT0ViauPPxtE6Rlk533d3op6Dz1jqC7BOJkta%2FH%2Bho1hS4%2FNDjQVV4IcpsnThxNxVr4i6%2BUtDsjirnJYPSWZTTCgSrPdSpM8Gg0qaWPCShKWC%2BN0aKf2%2B7KxiHk8BueG%2B8zzQUJfBG4xv%2FMs0HMazLDvIDWdmJUhv6Fw%2Fa" \t "_blank" </w:instrText>
            </w:r>
            <w:r>
              <w:rPr>
                <w:rFonts w:hint="eastAsia" w:ascii="仿宋" w:hAnsi="仿宋" w:eastAsia="仿宋" w:cs="仿宋"/>
                <w:sz w:val="21"/>
                <w:szCs w:val="21"/>
                <w:highlight w:val="none"/>
              </w:rPr>
              <w:fldChar w:fldCharType="separate"/>
            </w:r>
            <w:r>
              <w:rPr>
                <w:rFonts w:hint="eastAsia" w:ascii="仿宋" w:hAnsi="仿宋" w:eastAsia="仿宋" w:cs="仿宋"/>
                <w:sz w:val="21"/>
                <w:szCs w:val="21"/>
                <w:highlight w:val="none"/>
              </w:rPr>
              <w:t>HTML 5</w:t>
            </w:r>
            <w:r>
              <w:rPr>
                <w:rFonts w:hint="eastAsia" w:ascii="仿宋" w:hAnsi="仿宋" w:eastAsia="仿宋" w:cs="仿宋"/>
                <w:sz w:val="21"/>
                <w:szCs w:val="21"/>
                <w:highlight w:val="none"/>
              </w:rPr>
              <w:fldChar w:fldCharType="end"/>
            </w:r>
            <w:r>
              <w:rPr>
                <w:rFonts w:hint="eastAsia" w:ascii="仿宋" w:hAnsi="仿宋" w:eastAsia="仿宋" w:cs="仿宋"/>
                <w:sz w:val="21"/>
                <w:szCs w:val="21"/>
                <w:highlight w:val="none"/>
              </w:rPr>
              <w:t>网页技术开发，支持离线在线访问，可与学校数字化校园网互联互通，可无缝进行数据互传，可开放连接校园网网络接口，通过账号及密码可访问该资源，后台资源实时更新。</w:t>
            </w:r>
          </w:p>
          <w:p w14:paraId="5E6AB854">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（2）平台发布资源应具有3D效果，支持文档搜索、复制、放大、缩小、打印、文档处理等功能。</w:t>
            </w:r>
          </w:p>
          <w:p w14:paraId="497F2373">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（3）平台应集成设备服务系统，可完成查看设备信息包含技术配置、使用说明，质检报告等，可完成设备远程保修及技术支持，通过文字描述、图片等寻求厂家技术服务；支持查看服务进度，支持评价及投诉。</w:t>
            </w:r>
          </w:p>
          <w:p w14:paraId="629F9723">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（4）资源应集成设备实训指导书；</w:t>
            </w:r>
          </w:p>
          <w:p w14:paraId="5B18034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（5）须集成符合机械传动平台比赛资源包；应提供机械传动平台的相关的各种赛事试题。赛事种类不少于五种（要求为省级及以上赛事，国家一类赛事不少于两项），应提供有评分标准，试题不少于10套。</w:t>
            </w:r>
          </w:p>
          <w:p w14:paraId="0D54228E">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（6）可调用演示机械传动组件一、机械传动组件二的两种组合方案的运行视频（须基于实际设备）。</w:t>
            </w:r>
          </w:p>
          <w:p w14:paraId="61528A46">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（7）可调用演示“联轴器对中辅助软件”功能及对中过程。</w:t>
            </w:r>
          </w:p>
          <w:p w14:paraId="3D9AE354">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（8）资源须由一个统一的目录链接访问，方便管理。</w:t>
            </w:r>
          </w:p>
          <w:p w14:paraId="436345B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（9）</w:t>
            </w:r>
            <w:r>
              <w:rPr>
                <w:rFonts w:hint="eastAsia" w:ascii="仿宋" w:hAnsi="仿宋" w:eastAsia="仿宋" w:cs="仿宋"/>
                <w:b/>
                <w:bCs/>
                <w:i w:val="0"/>
                <w:iCs w:val="0"/>
                <w:color w:val="auto"/>
                <w:sz w:val="21"/>
                <w:szCs w:val="21"/>
                <w:highlight w:val="none"/>
                <w:u w:val="none"/>
                <w:lang w:val="en-US" w:eastAsia="zh-CN" w:bidi="ar"/>
              </w:rPr>
              <w:t>中标人在中标公告发布后3个工作日内，须提供</w:t>
            </w:r>
            <w:r>
              <w:rPr>
                <w:rFonts w:hint="eastAsia" w:ascii="仿宋" w:hAnsi="仿宋" w:eastAsia="仿宋" w:cs="仿宋"/>
                <w:b/>
                <w:bCs/>
                <w:color w:val="auto"/>
                <w:sz w:val="21"/>
                <w:szCs w:val="21"/>
                <w:highlight w:val="none"/>
              </w:rPr>
              <w:t>数字化立体教材软件平台功能视频演示</w:t>
            </w:r>
            <w:r>
              <w:rPr>
                <w:rFonts w:hint="eastAsia" w:ascii="仿宋" w:hAnsi="仿宋" w:eastAsia="仿宋" w:cs="仿宋"/>
                <w:b/>
                <w:bCs/>
                <w:i w:val="0"/>
                <w:iCs w:val="0"/>
                <w:color w:val="auto"/>
                <w:sz w:val="21"/>
                <w:szCs w:val="21"/>
                <w:highlight w:val="none"/>
                <w:u w:val="none"/>
                <w:lang w:val="en-US" w:eastAsia="zh-CN" w:bidi="ar"/>
              </w:rPr>
              <w:t>给采购人核查，不提供或核查不通过采购人可取消其中标资格。</w:t>
            </w:r>
          </w:p>
          <w:p w14:paraId="698AFBFB">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4.机械传动平台世赛资源包要求</w:t>
            </w:r>
          </w:p>
          <w:p w14:paraId="57A98C7D">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须提供基于世赛工业机械赛项机械传动平台模块的相关资源，须包含以下内容：</w:t>
            </w:r>
          </w:p>
          <w:p w14:paraId="41F6209C">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（1）最近一届工业机械赛项机械传动平台模块的试题；</w:t>
            </w:r>
          </w:p>
          <w:p w14:paraId="088A5836">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（2）工业机械赛项机械传动模块比赛平台配套资源。</w:t>
            </w:r>
          </w:p>
          <w:p w14:paraId="0BD386F4">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1）齿轮传动1：齿轮传动概述、正齿轮安装、齿轮间隙调整、速度与速比等。</w:t>
            </w:r>
          </w:p>
          <w:p w14:paraId="539F0F3A">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2）带传动1：带传动概述、带传动安装与带轮对中、带传动张力计算、带轮节圆直径、速度与扭矩比等。</w:t>
            </w:r>
          </w:p>
          <w:p w14:paraId="6377A604">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3）链传动1：链传动概述、链条安装与链轮对中、链条张力计算、速度、扭矩与链轮速比。</w:t>
            </w:r>
          </w:p>
          <w:p w14:paraId="3397FC1C">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4）齿轮传动2：斜齿轮、蜗轮蜗杆、锥齿轮、齿轮箱等。</w:t>
            </w:r>
          </w:p>
          <w:p w14:paraId="26822D83">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5）带传动2：同步带传动、变速带传动、多速带传动、多槽带传动等。</w:t>
            </w:r>
          </w:p>
          <w:p w14:paraId="0B4FF67E">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6）链传动2：多排链传动、惰轮等。</w:t>
            </w:r>
          </w:p>
          <w:p w14:paraId="26AC558F">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7）轴承与密封：相关轴承与密封模型。</w:t>
            </w:r>
          </w:p>
          <w:p w14:paraId="34D44D9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8）轴对中：直尺与塞尺、机械表打表、激光对中、法兰联轴器、挠性联轴器等。</w:t>
            </w:r>
          </w:p>
          <w:p w14:paraId="4A516709">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9）振动测量、离合制动器等。</w:t>
            </w:r>
          </w:p>
          <w:p w14:paraId="56B39FCE">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10）竞赛试题库：提供第46届世界技能大赛“工业机械项目”首次阶段性考核试题库不少于13套。</w:t>
            </w:r>
          </w:p>
          <w:p w14:paraId="37AC4315">
            <w:pPr>
              <w:keepNext w:val="0"/>
              <w:keepLines w:val="0"/>
              <w:pageBreakBefore w:val="0"/>
              <w:widowControl w:val="0"/>
              <w:kinsoku/>
              <w:wordWrap/>
              <w:overflowPunct w:val="0"/>
              <w:topLinePunct w:val="0"/>
              <w:autoSpaceDE w:val="0"/>
              <w:autoSpaceDN w:val="0"/>
              <w:bidi w:val="0"/>
              <w:adjustRightInd w:val="0"/>
              <w:snapToGrid/>
              <w:spacing w:line="240" w:lineRule="exact"/>
              <w:jc w:val="both"/>
              <w:textAlignment w:val="baseline"/>
              <w:rPr>
                <w:rFonts w:hint="eastAsia" w:ascii="仿宋" w:hAnsi="仿宋" w:eastAsia="仿宋" w:cs="仿宋"/>
                <w:b/>
                <w:bCs/>
                <w:kern w:val="28"/>
                <w:sz w:val="21"/>
                <w:szCs w:val="21"/>
                <w:highlight w:val="none"/>
                <w:lang w:val="en-US" w:eastAsia="zh-CN" w:bidi="ar-SA"/>
              </w:rPr>
            </w:pPr>
            <w:r>
              <w:rPr>
                <w:rFonts w:hint="eastAsia" w:ascii="仿宋" w:hAnsi="仿宋" w:eastAsia="仿宋" w:cs="仿宋"/>
                <w:b/>
                <w:bCs/>
                <w:kern w:val="28"/>
                <w:sz w:val="21"/>
                <w:szCs w:val="21"/>
                <w:highlight w:val="none"/>
                <w:lang w:val="en-US" w:eastAsia="zh-CN" w:bidi="ar-SA"/>
              </w:rPr>
              <w:t>11）</w:t>
            </w:r>
            <w:r>
              <w:rPr>
                <w:rFonts w:hint="eastAsia" w:ascii="仿宋" w:hAnsi="仿宋" w:eastAsia="仿宋" w:cs="仿宋"/>
                <w:b/>
                <w:bCs/>
                <w:i w:val="0"/>
                <w:iCs w:val="0"/>
                <w:color w:val="auto"/>
                <w:kern w:val="28"/>
                <w:sz w:val="21"/>
                <w:szCs w:val="21"/>
                <w:highlight w:val="none"/>
                <w:u w:val="none"/>
                <w:lang w:val="en-US" w:eastAsia="zh-CN" w:bidi="ar"/>
              </w:rPr>
              <w:t>中标人在中标公告发布后3个工作日内提供样机演示，不提供或演示不通过采购人可取消其中标资格。</w:t>
            </w:r>
          </w:p>
          <w:p w14:paraId="3542EB46">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5.机械机构3D资源库</w:t>
            </w:r>
          </w:p>
          <w:p w14:paraId="5CEE14C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（1）资源库以3D形式自动演示机械机构的运行情况。</w:t>
            </w:r>
          </w:p>
          <w:p w14:paraId="669C3A2B">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w:t>
            </w:r>
            <w:r>
              <w:rPr>
                <w:rFonts w:hint="eastAsia" w:ascii="仿宋" w:hAnsi="仿宋" w:eastAsia="仿宋" w:cs="仿宋"/>
                <w:sz w:val="21"/>
                <w:szCs w:val="21"/>
                <w:highlight w:val="none"/>
              </w:rPr>
              <w:t>（2）资源库内容不少于300项</w:t>
            </w:r>
            <w:r>
              <w:rPr>
                <w:rFonts w:hint="eastAsia" w:ascii="仿宋" w:hAnsi="仿宋" w:eastAsia="仿宋" w:cs="仿宋"/>
                <w:b/>
                <w:bCs/>
                <w:sz w:val="21"/>
                <w:szCs w:val="21"/>
                <w:highlight w:val="none"/>
              </w:rPr>
              <w:t>（</w:t>
            </w:r>
            <w:r>
              <w:rPr>
                <w:rFonts w:hint="eastAsia" w:ascii="仿宋" w:hAnsi="仿宋" w:eastAsia="仿宋" w:cs="仿宋"/>
                <w:b/>
                <w:bCs/>
                <w:sz w:val="21"/>
                <w:szCs w:val="21"/>
                <w:highlight w:val="none"/>
                <w:lang w:eastAsia="zh-CN"/>
              </w:rPr>
              <w:t>响应文件</w:t>
            </w:r>
            <w:r>
              <w:rPr>
                <w:rFonts w:hint="eastAsia" w:ascii="仿宋" w:hAnsi="仿宋" w:eastAsia="仿宋" w:cs="仿宋"/>
                <w:b/>
                <w:bCs/>
                <w:sz w:val="21"/>
                <w:szCs w:val="21"/>
                <w:highlight w:val="none"/>
              </w:rPr>
              <w:t>中列出各项具体名称）</w:t>
            </w:r>
            <w:r>
              <w:rPr>
                <w:rFonts w:hint="eastAsia" w:ascii="仿宋" w:hAnsi="仿宋" w:eastAsia="仿宋" w:cs="仿宋"/>
                <w:sz w:val="21"/>
                <w:szCs w:val="21"/>
                <w:highlight w:val="none"/>
              </w:rPr>
              <w:t>。</w:t>
            </w:r>
          </w:p>
          <w:p w14:paraId="4842E8F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6.机械仿真加工软件</w:t>
            </w:r>
          </w:p>
          <w:p w14:paraId="2E84B51C">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（1）兼容安卓系统，方便移动端安装学习。</w:t>
            </w:r>
          </w:p>
          <w:p w14:paraId="5FCCFAB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（2）具有新建、打开、保存工程功能，提供有不少于10个样例工程。</w:t>
            </w:r>
          </w:p>
          <w:p w14:paraId="4724F9E4">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（3）至少支持一种机械加工程序指令编程，均有程序实时监控功能。</w:t>
            </w:r>
          </w:p>
          <w:p w14:paraId="08DD933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（4）基于3D软件功能，具有三维移动、旋转、缩放功能，不少于5个3维视角，可观察三维仿真加工过程。</w:t>
            </w:r>
          </w:p>
          <w:p w14:paraId="306DDFB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（5）具有设备运转音效，营造逼真的运行环境。</w:t>
            </w:r>
          </w:p>
          <w:p w14:paraId="5640D372">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（6）配有虚拟量具，可进行尺寸测量。</w:t>
            </w:r>
          </w:p>
          <w:p w14:paraId="319F4CFD">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7.十字工作台装配与工艺微程开发</w:t>
            </w:r>
          </w:p>
          <w:p w14:paraId="2AD4BAA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围绕十字工作台装配与工艺设计制作6-10分钟微课，包含十字工作台的组成、装配工艺、装配过程与方法等。</w:t>
            </w:r>
          </w:p>
          <w:p w14:paraId="2AFFD4B9">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8.教学课程资源要求</w:t>
            </w:r>
          </w:p>
          <w:p w14:paraId="2B2098F4">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（1）提供与设备配套正规出版社出版的国家级规划教材、符合世赛标准，</w:t>
            </w:r>
          </w:p>
          <w:p w14:paraId="79D4C286">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（2）要求教材涉及机械传动装配与调试教学模块不少于10个，教学课题不少于35个，实训教材应与设备配套，教材内传动装调所用设备的结构布局、功能样式等与</w:t>
            </w:r>
            <w:r>
              <w:rPr>
                <w:rFonts w:hint="eastAsia" w:ascii="仿宋" w:hAnsi="仿宋" w:eastAsia="仿宋" w:cs="仿宋"/>
                <w:sz w:val="21"/>
                <w:szCs w:val="21"/>
                <w:highlight w:val="none"/>
                <w:lang w:eastAsia="zh-CN"/>
              </w:rPr>
              <w:t>响应</w:t>
            </w:r>
            <w:r>
              <w:rPr>
                <w:rFonts w:hint="eastAsia" w:ascii="仿宋" w:hAnsi="仿宋" w:eastAsia="仿宋" w:cs="仿宋"/>
                <w:sz w:val="21"/>
                <w:szCs w:val="21"/>
                <w:highlight w:val="none"/>
              </w:rPr>
              <w:t>产品一致。</w:t>
            </w:r>
          </w:p>
          <w:p w14:paraId="6DAF513F">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9.机械装配与调试微课</w:t>
            </w:r>
          </w:p>
          <w:p w14:paraId="73CAF68B">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要求微课基于</w:t>
            </w:r>
            <w:r>
              <w:rPr>
                <w:rFonts w:hint="eastAsia" w:ascii="仿宋" w:hAnsi="仿宋" w:eastAsia="仿宋" w:cs="仿宋"/>
                <w:sz w:val="21"/>
                <w:szCs w:val="21"/>
                <w:highlight w:val="none"/>
                <w:lang w:eastAsia="zh-CN"/>
              </w:rPr>
              <w:t>响应</w:t>
            </w:r>
            <w:r>
              <w:rPr>
                <w:rFonts w:hint="eastAsia" w:ascii="仿宋" w:hAnsi="仿宋" w:eastAsia="仿宋" w:cs="仿宋"/>
                <w:sz w:val="21"/>
                <w:szCs w:val="21"/>
                <w:highlight w:val="none"/>
              </w:rPr>
              <w:t>设备制作，与设备教材配套，内容至少包含：</w:t>
            </w:r>
          </w:p>
          <w:p w14:paraId="5B130B9C">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（1）带传动的组成及工作原理</w:t>
            </w:r>
          </w:p>
          <w:p w14:paraId="79C7A0D7">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（2）V带传动的安装与调试</w:t>
            </w:r>
          </w:p>
          <w:p w14:paraId="3523E67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（3）用笔型传动带张力测试仪检测张力</w:t>
            </w:r>
          </w:p>
          <w:p w14:paraId="3C96ABEE">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（4）链传动的组成及工作原理</w:t>
            </w:r>
          </w:p>
          <w:p w14:paraId="79492C60">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（5）链传动的安装与调试</w:t>
            </w:r>
          </w:p>
          <w:p w14:paraId="1ED8AD2A">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（6）齿侧间隙的检验</w:t>
            </w:r>
          </w:p>
          <w:p w14:paraId="68435DA3">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（7）齿轮与轴的装配</w:t>
            </w:r>
          </w:p>
          <w:p w14:paraId="6293541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10.机械系统设计分析教程</w:t>
            </w:r>
          </w:p>
          <w:p w14:paraId="29191C3B">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采用多媒体视频教程形式，主要内容包含以下内容：</w:t>
            </w:r>
          </w:p>
          <w:p w14:paraId="4C69A382">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（1）坐标体系介绍</w:t>
            </w:r>
          </w:p>
          <w:p w14:paraId="2B71985B">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（2）旋转副</w:t>
            </w:r>
          </w:p>
          <w:p w14:paraId="242C8EA9">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（3）滑动副</w:t>
            </w:r>
          </w:p>
          <w:p w14:paraId="2B56D441">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（4）滑动旋转副</w:t>
            </w:r>
          </w:p>
          <w:p w14:paraId="36BAD04D">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（5）模型制作、碰撞模拟</w:t>
            </w:r>
          </w:p>
          <w:p w14:paraId="0C9D905F">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（6）柔性绳缆</w:t>
            </w:r>
          </w:p>
          <w:p w14:paraId="5514D9C8">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（7）滑轮组模拟</w:t>
            </w:r>
          </w:p>
          <w:p w14:paraId="4A482DB5">
            <w:pPr>
              <w:keepNext w:val="0"/>
              <w:keepLines w:val="0"/>
              <w:pageBreakBefore w:val="0"/>
              <w:widowControl w:val="0"/>
              <w:kinsoku/>
              <w:wordWrap/>
              <w:overflowPunct/>
              <w:topLinePunct w:val="0"/>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（8）弹性杆模拟</w:t>
            </w:r>
          </w:p>
          <w:p w14:paraId="5AC84206">
            <w:pPr>
              <w:keepNext w:val="0"/>
              <w:keepLines w:val="0"/>
              <w:pageBreakBefore w:val="0"/>
              <w:widowControl w:val="0"/>
              <w:kinsoku/>
              <w:wordWrap/>
              <w:topLinePunct w:val="0"/>
              <w:bidi w:val="0"/>
              <w:snapToGrid/>
              <w:spacing w:line="240" w:lineRule="exact"/>
              <w:jc w:val="left"/>
              <w:rPr>
                <w:rFonts w:hint="eastAsia" w:ascii="仿宋" w:hAnsi="仿宋" w:eastAsia="仿宋" w:cs="Times New Roman"/>
                <w:color w:val="000000"/>
                <w:sz w:val="21"/>
                <w:szCs w:val="21"/>
                <w:highlight w:val="none"/>
              </w:rPr>
            </w:pPr>
            <w:r>
              <w:rPr>
                <w:rFonts w:hint="eastAsia" w:ascii="仿宋" w:hAnsi="仿宋" w:eastAsia="仿宋" w:cs="仿宋"/>
                <w:sz w:val="21"/>
                <w:szCs w:val="21"/>
                <w:highlight w:val="none"/>
              </w:rPr>
              <w:t>（9）导入外部CAD模型和参数继承</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7A76ECF5">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2761716">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3413B96A">
            <w:pPr>
              <w:jc w:val="center"/>
              <w:rPr>
                <w:rFonts w:ascii="仿宋" w:hAnsi="仿宋" w:eastAsia="仿宋" w:cs="Times New Roman"/>
                <w:color w:val="000000"/>
                <w:sz w:val="24"/>
                <w:highlight w:val="none"/>
              </w:rPr>
            </w:pPr>
          </w:p>
        </w:tc>
      </w:tr>
      <w:tr w14:paraId="1DFF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0" w:type="dxa"/>
            <w:vMerge w:val="restart"/>
            <w:tcBorders>
              <w:top w:val="single" w:color="auto" w:sz="4" w:space="0"/>
              <w:left w:val="single" w:color="auto" w:sz="4" w:space="0"/>
              <w:right w:val="single" w:color="auto" w:sz="4" w:space="0"/>
            </w:tcBorders>
            <w:noWrap w:val="0"/>
            <w:vAlign w:val="center"/>
          </w:tcPr>
          <w:p w14:paraId="4313755E">
            <w:pPr>
              <w:jc w:val="center"/>
              <w:rPr>
                <w:rFonts w:hint="default"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2</w:t>
            </w:r>
          </w:p>
        </w:tc>
        <w:tc>
          <w:tcPr>
            <w:tcW w:w="811" w:type="dxa"/>
            <w:vMerge w:val="restart"/>
            <w:tcBorders>
              <w:top w:val="single" w:color="auto" w:sz="4" w:space="0"/>
              <w:left w:val="single" w:color="auto" w:sz="4" w:space="0"/>
              <w:right w:val="single" w:color="auto" w:sz="4" w:space="0"/>
            </w:tcBorders>
            <w:noWrap w:val="0"/>
            <w:vAlign w:val="center"/>
          </w:tcPr>
          <w:p w14:paraId="17761F50">
            <w:pPr>
              <w:keepNext w:val="0"/>
              <w:keepLines w:val="0"/>
              <w:pageBreakBefore w:val="0"/>
              <w:widowControl w:val="0"/>
              <w:kinsoku/>
              <w:wordWrap/>
              <w:overflowPunct/>
              <w:topLinePunct w:val="0"/>
              <w:autoSpaceDE/>
              <w:autoSpaceDN/>
              <w:bidi w:val="0"/>
              <w:snapToGrid/>
              <w:spacing w:line="240" w:lineRule="exact"/>
              <w:jc w:val="center"/>
              <w:textAlignment w:val="auto"/>
              <w:rPr>
                <w:rFonts w:hint="eastAsia" w:ascii="仿宋" w:hAnsi="仿宋" w:eastAsia="仿宋" w:cs="Times New Roman"/>
                <w:color w:val="000000"/>
                <w:sz w:val="21"/>
                <w:szCs w:val="21"/>
                <w:highlight w:val="none"/>
                <w:lang w:val="en-US" w:eastAsia="zh-CN"/>
              </w:rPr>
            </w:pPr>
            <w:r>
              <w:rPr>
                <w:rFonts w:hint="eastAsia" w:ascii="仿宋" w:hAnsi="仿宋" w:eastAsia="仿宋" w:cs="仿宋"/>
                <w:b w:val="0"/>
                <w:bCs/>
                <w:snapToGrid w:val="0"/>
                <w:kern w:val="0"/>
                <w:sz w:val="21"/>
                <w:szCs w:val="21"/>
                <w:highlight w:val="none"/>
                <w:lang w:val="zh-CN" w:eastAsia="zh-CN" w:bidi="ar-SA"/>
              </w:rPr>
              <w:t>现代装配钳工综合实训平台考核设备</w:t>
            </w:r>
          </w:p>
        </w:tc>
        <w:tc>
          <w:tcPr>
            <w:tcW w:w="7030" w:type="dxa"/>
            <w:tcBorders>
              <w:top w:val="single" w:color="auto" w:sz="4" w:space="0"/>
              <w:left w:val="single" w:color="auto" w:sz="4" w:space="0"/>
              <w:bottom w:val="single" w:color="auto" w:sz="4" w:space="0"/>
              <w:right w:val="single" w:color="auto" w:sz="4" w:space="0"/>
            </w:tcBorders>
            <w:noWrap w:val="0"/>
            <w:vAlign w:val="top"/>
          </w:tcPr>
          <w:p w14:paraId="47EAAED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、基本配置要求</w:t>
            </w:r>
          </w:p>
          <w:p w14:paraId="236E34F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实训工作台</w:t>
            </w:r>
            <w:r>
              <w:rPr>
                <w:rFonts w:hint="eastAsia" w:ascii="仿宋" w:hAnsi="仿宋" w:eastAsia="仿宋" w:cs="仿宋"/>
                <w:sz w:val="21"/>
                <w:szCs w:val="21"/>
                <w:highlight w:val="none"/>
              </w:rPr>
              <w:t>要求</w:t>
            </w:r>
          </w:p>
          <w:p w14:paraId="22AAB45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 xml:space="preserve">1.1 实训工作台须采用钢质框架，组装式结构设计，双色亚光密纹喷塑处理；左侧台面为带槽铸铁平板，右侧台面为实木桌面板，实训台四边边角均采用R30圆角过渡，外形尺寸（长×宽×高）：≧1600mm×750mm×800mm。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1.2 带槽铸铁平板材质：HT250，槽宽≧12mm，铸铁平板尺寸：≧1000×750×40mm，铸铁平板台面经研磨、刮研处理，粗糙精度不低于 1.6μm，微见刀路痕迹。应配有上槽轨组件不少于 16 根，槽宽≧10mm；上槽轨组件应可调节地设置在下槽轨组件上，实训组件可调节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地设置在所述上槽轨组件上。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 实木桌面板尺寸：600×750×40mm，桌面铺防静电橡胶垫，安装有6寸重型台虎钳，开口度152mm，净重29kg，夹紧力3000kg。</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 应设有存储柜，方便实训零件、工量具、资料等的放置及管理；底部采用工业脚轮，单轮承重不小于 500kg</w:t>
            </w:r>
            <w:r>
              <w:rPr>
                <w:rFonts w:hint="eastAsia" w:ascii="仿宋" w:hAnsi="仿宋" w:eastAsia="仿宋" w:cs="仿宋"/>
                <w:sz w:val="21"/>
                <w:szCs w:val="21"/>
                <w:highlight w:val="none"/>
              </w:rPr>
              <w:t>。</w:t>
            </w:r>
          </w:p>
          <w:p w14:paraId="3DAF58F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电控箱</w:t>
            </w:r>
            <w:r>
              <w:rPr>
                <w:rFonts w:hint="eastAsia" w:ascii="仿宋" w:hAnsi="仿宋" w:eastAsia="仿宋" w:cs="仿宋"/>
                <w:sz w:val="21"/>
                <w:szCs w:val="21"/>
                <w:highlight w:val="none"/>
              </w:rPr>
              <w:t>要求</w:t>
            </w:r>
          </w:p>
          <w:p w14:paraId="1B0F678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 xml:space="preserve">2.1 电控箱应为优质冷轧钢板材质，表面密纹喷塑处理，应采用滑动隐藏收纳设计；工业变频器1个:额定功率≧0.37kW，有60秒150%过载，I/0 接口:4DI/2D0/2AI，支持 USS/MODBUS RTU 总线通讯。须配有急停按钮、三位旋钮、交流接触器、总电源开关等电气部件。响应文件需提供电控箱实物图片证明。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2.2 变频器学习软件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（1）变频器学习软件教学内容应与设备配套变频器系列产品一致； </w:t>
            </w:r>
          </w:p>
          <w:p w14:paraId="53A8C5A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w:t>
            </w:r>
            <w:r>
              <w:rPr>
                <w:rFonts w:hint="eastAsia" w:ascii="仿宋" w:hAnsi="仿宋" w:eastAsia="仿宋" w:cs="仿宋"/>
                <w:i w:val="0"/>
                <w:iCs w:val="0"/>
                <w:color w:val="000000"/>
                <w:kern w:val="0"/>
                <w:sz w:val="21"/>
                <w:szCs w:val="21"/>
                <w:highlight w:val="none"/>
                <w:u w:val="none"/>
                <w:lang w:val="en-US" w:eastAsia="zh-CN" w:bidi="ar"/>
              </w:rPr>
              <w:t>基本实训组件</w:t>
            </w:r>
          </w:p>
          <w:p w14:paraId="1840A09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3.1 三相交流电机1台，卧式安装额定功率≦0.25kW，输入电压AC380V。</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3.2 传动轴一2根，材料：40CrMo，规格：Ø20mm×225mm，带键槽，精度：直线度≦0.02mm/225mm，粗糙度≤0.8μm，硬度HRC28-32。</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3.3 传动轴二3根，材料：40CrMo，规格：Ø20mm×350mm，带键槽，精度：直线度≦0.02mm/225mm，粗糙度≤0.8μm，硬度HRC28-32。</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3.4 梅花联轴器1个，材料：45#钢，规格：外径65mm，长度90mm，轴孔14/20mm，带键槽和顶丝，精度：IT6级，粗糙度≤3.2μm。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3.5 电机安装座1件，材料：6063铝合金，规格：220x120x18.5mm，精度：IT7级。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3.6 轴承座垫高块10件，材料：6063铝合金，规格：170x40x57mm，精度：IT7级。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3.7 带立式座外球面轴承10个，材料：HT250灰口铸铁，规格：内孔20mm，精度：IT7级。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3.8 槽轨一2根，材料：6063铝合金，规格：45x45x300mm，精度：IT7级。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3.9 槽轨二4根，材料：6063铝合金，规格：45x45x365mm，精度：IT7级。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3.10 槽轨三4根，材料：6063铝合金，规格：45x45x637mm，精度：IT7级。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3.11 槽轨四6根，材料：6063铝合金，规格：45x45x952mm，精度：IT7级。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3.12 磁性座滑块，材料：45#钢，规格：50x60x20mm，精度：IT6级，粗糙度≤1.6μm</w:t>
            </w:r>
            <w:r>
              <w:rPr>
                <w:rFonts w:hint="eastAsia" w:ascii="仿宋" w:hAnsi="仿宋" w:eastAsia="仿宋" w:cs="仿宋"/>
                <w:sz w:val="21"/>
                <w:szCs w:val="21"/>
                <w:highlight w:val="none"/>
              </w:rPr>
              <w:t>。</w:t>
            </w:r>
          </w:p>
          <w:p w14:paraId="0CFF059D">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机械传动</w:t>
            </w:r>
            <w:r>
              <w:rPr>
                <w:rFonts w:hint="eastAsia" w:ascii="仿宋" w:hAnsi="仿宋" w:eastAsia="仿宋" w:cs="仿宋"/>
                <w:sz w:val="21"/>
                <w:szCs w:val="21"/>
                <w:highlight w:val="none"/>
              </w:rPr>
              <w:t>组件</w:t>
            </w:r>
            <w:r>
              <w:rPr>
                <w:rFonts w:hint="eastAsia" w:ascii="仿宋" w:hAnsi="仿宋" w:eastAsia="仿宋" w:cs="仿宋"/>
                <w:sz w:val="21"/>
                <w:szCs w:val="21"/>
                <w:highlight w:val="none"/>
                <w:lang w:val="en-US" w:eastAsia="zh-CN"/>
              </w:rPr>
              <w:t>1带传动部分要求</w:t>
            </w:r>
          </w:p>
          <w:p w14:paraId="30DDDF5A">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4.1 单槽V带轮一1个，材料：45#钢，规格：A型，节径80 mm，孔径14mm，精度：IT7级，表面粗糙度≤3.2μm。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4.2 单槽V带轮二1个，材料：45#钢，规格：A型，节径80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4.3 单槽V带轮三1个，材料：45#钢，规格：A型，节径100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4.4 单槽V带轮四1个，材料：45#钢，规格：A型，节径125 mm，孔径20mm，精度：IT7级，表面粗糙度≤3.2μm。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4.5 V型皮带1根，材料：氯丁橡胶，规格：SPA1000，精度：IT12级。</w:t>
            </w:r>
          </w:p>
          <w:p w14:paraId="7AD37A7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机械传动</w:t>
            </w:r>
            <w:r>
              <w:rPr>
                <w:rFonts w:hint="eastAsia" w:ascii="仿宋" w:hAnsi="仿宋" w:eastAsia="仿宋" w:cs="仿宋"/>
                <w:sz w:val="21"/>
                <w:szCs w:val="21"/>
                <w:highlight w:val="none"/>
              </w:rPr>
              <w:t>组件</w:t>
            </w:r>
            <w:r>
              <w:rPr>
                <w:rFonts w:hint="eastAsia" w:ascii="仿宋" w:hAnsi="仿宋" w:eastAsia="仿宋" w:cs="仿宋"/>
                <w:sz w:val="21"/>
                <w:szCs w:val="21"/>
                <w:highlight w:val="none"/>
                <w:lang w:val="en-US" w:eastAsia="zh-CN"/>
              </w:rPr>
              <w:t>1</w:t>
            </w:r>
            <w:r>
              <w:rPr>
                <w:rFonts w:hint="eastAsia" w:ascii="仿宋" w:hAnsi="仿宋" w:eastAsia="仿宋" w:cs="仿宋"/>
                <w:i w:val="0"/>
                <w:iCs w:val="0"/>
                <w:color w:val="000000"/>
                <w:kern w:val="0"/>
                <w:sz w:val="21"/>
                <w:szCs w:val="21"/>
                <w:highlight w:val="none"/>
                <w:u w:val="none"/>
                <w:lang w:val="en-US" w:eastAsia="zh-CN" w:bidi="ar"/>
              </w:rPr>
              <w:t>链传动部分</w:t>
            </w:r>
            <w:r>
              <w:rPr>
                <w:rFonts w:hint="eastAsia" w:ascii="仿宋" w:hAnsi="仿宋" w:eastAsia="仿宋" w:cs="仿宋"/>
                <w:sz w:val="21"/>
                <w:szCs w:val="21"/>
                <w:highlight w:val="none"/>
                <w:lang w:val="en-US" w:eastAsia="zh-CN"/>
              </w:rPr>
              <w:t>要求</w:t>
            </w:r>
          </w:p>
          <w:p w14:paraId="6B00509C">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rPr>
            </w:pPr>
            <w:r>
              <w:rPr>
                <w:rFonts w:hint="eastAsia" w:ascii="仿宋" w:hAnsi="仿宋" w:eastAsia="仿宋" w:cs="仿宋"/>
                <w:i w:val="0"/>
                <w:iCs w:val="0"/>
                <w:color w:val="000000"/>
                <w:kern w:val="0"/>
                <w:sz w:val="21"/>
                <w:szCs w:val="21"/>
                <w:highlight w:val="none"/>
                <w:u w:val="none"/>
                <w:lang w:val="en-US" w:eastAsia="zh-CN" w:bidi="ar"/>
              </w:rPr>
              <w:t>5.1 单排链条2条，材料：Q235钢，规格：08B，100节，精度：IT7级。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5.2 单排链轮一1个，材料：45#钢，规格：08B，齿数15，孔径14mm，硬度55-60HRC，精度：IT7级，齿形粗糙度≤3.2μm。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5.3 单排链轮二1个，材料：45#钢，规格：08B，齿数15，孔径20mm，硬度55-60HRC，精度：IT7级，齿形粗糙度≤3.2μm。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5.4 单排链轮三1个，材料：45#钢，规格：08B，齿数20，孔径20mm，硬度55-60HRC，精度：IT7级，齿形粗糙度≤3.2μm。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5.5 单排链轮四1个，材料：45#钢，规格：08B，齿数25，孔径20mm，硬度55-60HRC，精度：IT7级，齿形粗糙度≤3.2μm。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5.6 链条接头5个，材料：Q235钢，规格：08B，精度：IT7级.</w:t>
            </w:r>
          </w:p>
          <w:p w14:paraId="028E9285">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机械传动</w:t>
            </w:r>
            <w:r>
              <w:rPr>
                <w:rFonts w:hint="eastAsia" w:ascii="仿宋" w:hAnsi="仿宋" w:eastAsia="仿宋" w:cs="仿宋"/>
                <w:sz w:val="21"/>
                <w:szCs w:val="21"/>
                <w:highlight w:val="none"/>
              </w:rPr>
              <w:t>组件</w:t>
            </w:r>
            <w:r>
              <w:rPr>
                <w:rFonts w:hint="eastAsia" w:ascii="仿宋" w:hAnsi="仿宋" w:eastAsia="仿宋" w:cs="仿宋"/>
                <w:sz w:val="21"/>
                <w:szCs w:val="21"/>
                <w:highlight w:val="none"/>
                <w:lang w:val="en-US" w:eastAsia="zh-CN"/>
              </w:rPr>
              <w:t>1</w:t>
            </w:r>
            <w:r>
              <w:rPr>
                <w:rFonts w:hint="eastAsia" w:ascii="仿宋" w:hAnsi="仿宋" w:eastAsia="仿宋" w:cs="仿宋"/>
                <w:i w:val="0"/>
                <w:iCs w:val="0"/>
                <w:color w:val="000000"/>
                <w:kern w:val="0"/>
                <w:sz w:val="21"/>
                <w:szCs w:val="21"/>
                <w:highlight w:val="none"/>
                <w:u w:val="none"/>
                <w:lang w:val="en-US" w:eastAsia="zh-CN" w:bidi="ar"/>
              </w:rPr>
              <w:t>齿轮传动部分</w:t>
            </w:r>
            <w:r>
              <w:rPr>
                <w:rFonts w:hint="eastAsia" w:ascii="仿宋" w:hAnsi="仿宋" w:eastAsia="仿宋" w:cs="仿宋"/>
                <w:sz w:val="21"/>
                <w:szCs w:val="21"/>
                <w:highlight w:val="none"/>
                <w:lang w:val="en-US" w:eastAsia="zh-CN"/>
              </w:rPr>
              <w:t>要求</w:t>
            </w:r>
          </w:p>
          <w:p w14:paraId="7667DD77">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6.1 直齿圆柱齿轮一1个，材料：20CrMnTi，规格：齿数48，模数1.5，压力角20°，配孔径20 mm免键式胀紧套，IT6级，齿形粗糙度≤1.6μm，硬度55-60HRC。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6.2 直齿圆柱齿轮二1个，材料：20CrMnTi，规格：齿数60，模数1.5，压力角20°，配孔径20 mm免键式胀紧套，IT6级，齿形粗糙度≤1.6μm，硬度55-60HRC。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6.3 直齿圆柱齿轮三1个，材料：20CrMnTi，规格：齿数30，模数2，压力角20°，孔径14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6.4 直齿圆柱齿轮四1个，材料：20CrMnTi，规格：齿数30，模数2，压力角20°，孔径20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6.5 直齿圆柱齿轮五1个，材料：20CrMnTi，规格：齿数40，模数2，压力角20°，孔径20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6.6 直齿圆柱齿轮六1个，材料：20CrMnTi，规格：齿数50，模数2，压力角20°，孔径20 mm，IT6级，齿形粗糙度≤1.6μm，硬度55-60HRC。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6.7 直齿圆柱齿轮七1个，材料：20CrMnTi，规格：齿数60，模数2，压力角20°，配孔径20 mm免键式胀紧套，IT6级，齿形粗糙度≤1.6μm，硬度55-60HRC。</w:t>
            </w:r>
          </w:p>
          <w:p w14:paraId="04B5671B">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机械传动</w:t>
            </w:r>
            <w:r>
              <w:rPr>
                <w:rFonts w:hint="eastAsia" w:ascii="仿宋" w:hAnsi="仿宋" w:eastAsia="仿宋" w:cs="仿宋"/>
                <w:sz w:val="21"/>
                <w:szCs w:val="21"/>
                <w:highlight w:val="none"/>
              </w:rPr>
              <w:t>组件</w:t>
            </w:r>
            <w:r>
              <w:rPr>
                <w:rFonts w:hint="eastAsia" w:ascii="仿宋" w:hAnsi="仿宋" w:eastAsia="仿宋" w:cs="仿宋"/>
                <w:sz w:val="21"/>
                <w:szCs w:val="21"/>
                <w:highlight w:val="none"/>
                <w:lang w:val="en-US" w:eastAsia="zh-CN"/>
              </w:rPr>
              <w:t>2</w:t>
            </w:r>
            <w:r>
              <w:rPr>
                <w:rFonts w:hint="eastAsia" w:ascii="仿宋" w:hAnsi="仿宋" w:eastAsia="仿宋" w:cs="仿宋"/>
                <w:i w:val="0"/>
                <w:iCs w:val="0"/>
                <w:color w:val="000000"/>
                <w:kern w:val="0"/>
                <w:sz w:val="21"/>
                <w:szCs w:val="21"/>
                <w:highlight w:val="none"/>
                <w:u w:val="none"/>
                <w:lang w:val="en-US" w:eastAsia="zh-CN" w:bidi="ar"/>
              </w:rPr>
              <w:t>带传动部分</w:t>
            </w:r>
            <w:r>
              <w:rPr>
                <w:rFonts w:hint="eastAsia" w:ascii="仿宋" w:hAnsi="仿宋" w:eastAsia="仿宋" w:cs="仿宋"/>
                <w:sz w:val="21"/>
                <w:szCs w:val="21"/>
                <w:highlight w:val="none"/>
                <w:lang w:val="en-US" w:eastAsia="zh-CN"/>
              </w:rPr>
              <w:t>要求</w:t>
            </w:r>
          </w:p>
          <w:p w14:paraId="647F441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7.1 级进V型带轮2个，材料：45#钢，规格：A型槽，节径55mm和90mm，孔径20 mm，精度：IT7级，表面粗糙度≤3.2μm。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7.2 V型皮带2根，材料：氯丁橡胶，规格：A38、A48各1根，精度：IT12级。</w:t>
            </w:r>
          </w:p>
          <w:p w14:paraId="6A7C1232">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机械传动</w:t>
            </w:r>
            <w:r>
              <w:rPr>
                <w:rFonts w:hint="eastAsia" w:ascii="仿宋" w:hAnsi="仿宋" w:eastAsia="仿宋" w:cs="仿宋"/>
                <w:sz w:val="21"/>
                <w:szCs w:val="21"/>
                <w:highlight w:val="none"/>
              </w:rPr>
              <w:t>组件</w:t>
            </w:r>
            <w:r>
              <w:rPr>
                <w:rFonts w:hint="eastAsia" w:ascii="仿宋" w:hAnsi="仿宋" w:eastAsia="仿宋" w:cs="仿宋"/>
                <w:sz w:val="21"/>
                <w:szCs w:val="21"/>
                <w:highlight w:val="none"/>
                <w:lang w:val="en-US" w:eastAsia="zh-CN"/>
              </w:rPr>
              <w:t>2</w:t>
            </w:r>
            <w:r>
              <w:rPr>
                <w:rFonts w:hint="eastAsia" w:ascii="仿宋" w:hAnsi="仿宋" w:eastAsia="仿宋" w:cs="仿宋"/>
                <w:i w:val="0"/>
                <w:iCs w:val="0"/>
                <w:color w:val="000000"/>
                <w:kern w:val="0"/>
                <w:sz w:val="21"/>
                <w:szCs w:val="21"/>
                <w:highlight w:val="none"/>
                <w:u w:val="none"/>
                <w:lang w:val="en-US" w:eastAsia="zh-CN" w:bidi="ar"/>
              </w:rPr>
              <w:t>齿轮传动部分</w:t>
            </w:r>
            <w:r>
              <w:rPr>
                <w:rFonts w:hint="eastAsia" w:ascii="仿宋" w:hAnsi="仿宋" w:eastAsia="仿宋" w:cs="仿宋"/>
                <w:sz w:val="21"/>
                <w:szCs w:val="21"/>
                <w:highlight w:val="none"/>
                <w:lang w:val="en-US" w:eastAsia="zh-CN"/>
              </w:rPr>
              <w:t>要求</w:t>
            </w:r>
          </w:p>
          <w:p w14:paraId="3E579D31">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8.1 直齿锥齿轮2个，材料：45#钢，规格：齿数30，模数2，孔径20 mm，精度：IT6级，齿形粗糙度≤1.6μm，硬度55-60HRC。</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8.2 蜗杆1根，材料：45#钢，规格：模数2.5，压力角20°，精度:IT6级。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8.3 蜗轮1个，材料：黄铜，规格：模数2.5，齿数46，压力角为20°，精度：IT7级。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8.4 传动轴止推环10个，材料45#钢，规格：20x40x12mm，精度：IT7级。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8.5 蜗轮、蜗杆安装座2个，材料：6063铝合金，规格：170x40x35mm，精度：IT7级。</w:t>
            </w:r>
          </w:p>
          <w:p w14:paraId="04538209">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w:t>
            </w:r>
            <w:r>
              <w:rPr>
                <w:rFonts w:hint="eastAsia" w:ascii="仿宋" w:hAnsi="仿宋" w:eastAsia="仿宋" w:cs="仿宋"/>
                <w:i w:val="0"/>
                <w:iCs w:val="0"/>
                <w:color w:val="000000"/>
                <w:kern w:val="0"/>
                <w:sz w:val="21"/>
                <w:szCs w:val="21"/>
                <w:highlight w:val="none"/>
                <w:u w:val="none"/>
                <w:lang w:val="en-US" w:eastAsia="zh-CN" w:bidi="ar"/>
              </w:rPr>
              <w:t>实训模型及实训套件</w:t>
            </w:r>
            <w:r>
              <w:rPr>
                <w:rFonts w:hint="eastAsia" w:ascii="仿宋" w:hAnsi="仿宋" w:eastAsia="仿宋" w:cs="仿宋"/>
                <w:sz w:val="21"/>
                <w:szCs w:val="21"/>
                <w:highlight w:val="none"/>
                <w:lang w:val="en-US" w:eastAsia="zh-CN"/>
              </w:rPr>
              <w:t>要求</w:t>
            </w:r>
          </w:p>
          <w:p w14:paraId="61D3273E">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 xml:space="preserve">9.1泵浦模型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主要由主轴、透盖、马达侧座、叶轮侧座、机械密封座、泵浦叶轮、泵浦锥杯、水封、 油封、弹性挡圈、止动垫圈、圆螺母、深沟球轴承、角接触球轴承、O 型圈、机械式密等组成。</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（1）主轴1根，材料：45#钢，规格：Ø25x196mm，精度：IT6级，粗糙度≤3.2μm。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（2）透盖1个，材料：45#钢，规格：Ø65x17.5mm，精度：IT7级，粗糙度≤3.2μm。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（3）马达侧座1个，材料：45#钢，规格：110x30x75mm，精度：IT7级，粗糙度≤3.2μm。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（4）叶轮侧座1个，材料：45#钢，规格：110x20x75mm，精度：IT7级，粗糙度≤3.2μm。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（5）机械密封座1个，材料：45#钢，规格：Ø65x20mm，精度：IT7级，粗糙度≤3.2μm。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（6）泵浦叶轮1个，材料：45#钢，规格：Ø60x10.5mm，精度：IT7级，粗糙度≤3.2μm。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（7）泵浦锥杯1个，材料：45#钢，规格：Ø25x6mm，粗糙度≤3.2μm。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（8）VA水封2个，材料：丁腈橡胶，规格：VA-16，精度：IT7级。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（9）骨架油封1个，材料：丁腈橡胶，规格：Ø15xØ35x7mm，精度：IT7级。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（10）骨架油封1个，材料：丁腈橡胶，规格：Ø16xØ35x7mm，精度：IT7级。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（12）轴用弹性挡圈1个，材料：弹簧钢，规格：A型 Ø15mm，精度：IT7级。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（13）圆螺母用止动垫圈，材料：Q235钢，规格：Ø20mm，精度：IT7级。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（14）圆螺母1个，材料：45#钢，规格：M20x1.5，精度：IT7级。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（15）深沟球轴承1个，材料：轴承钢，规格：6202，精度：IT6级。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（16）角接触球轴承1对，材料：轴承钢，规格：7004C，精度：IT6级。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（17）O型圈1个，材料：丁腈橡胶，规格：Ø40x2.65mm，精度：IT7级。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（18）水泵用机械式密1个，材料：弹簧钢，规格：RM108-15，精度：IT7级。</w:t>
            </w:r>
          </w:p>
          <w:p w14:paraId="0910A900">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 xml:space="preserve">9.2简易齿轮箱模型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 xml:space="preserve">主要由主轴、透盖、侧座、简易齿轮、上盖、侧盖、隔环、垫片、轴承套筒、骨架油封、 孔用弹性挡圈、孔用弹性挡圈、轴用弹性、挡圈、圆螺母用止动垫圈、圆螺母、圆柱滚子轴承、调心滚子轴承、O 型圈等零部件组成。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（1）主轴1根，材料：45#钢，规格：Ø25x135mm，精度：IT6级，粗糙度≤3.2μm。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（2）透盖1个，材料：45#钢，规格：Ø70x14mm，精度：IT7级，粗糙度≤3.2μm。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（3）侧座2个，材料：45#钢，规格：110x30x75mm，精度：IT7级，粗糙度≤3.2μm。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（4）简易齿轮1个，材料：45#钢，规格：Ø65x25mm，精度：IT7级，粗糙度≤3.2μm。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（5）上盖1个，材料：45#钢，规格：83x40x5mm，精度：IT7级，粗糙度≤3.2μm。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（6）侧盖1个，材料：45#钢，规格：Ø70x15mm，精度：IT7级，粗糙度≤3.2μm。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（7）隔环1个，材料：45#钢，规格：Ø25x6mm，精度：IT7级，粗糙度≤3.2μm。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（8）垫片1个，材料：45#钢，规格：Ø35x3mm，精度：IT7级，粗糙度≤3.2μm。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（9）轴承套筒1个，材料：45#钢，规格：Ø25x30mm，精度：IT7级，粗糙度≤3.2μm。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（10）骨架油封1个，材料：丁腈橡胶，规格：Ø20xØ35x7mm，精度：IT7级。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（11）孔用弹性挡圈1个，材料：弹簧钢，规格：A型 Ø35mm，精度：IT7级。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（12）孔用弹性挡圈1个，材料：弹簧钢，规格：A型 Ø52mm，精度：IT7级。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（13）轴用弹性挡圈1个，材料：弹簧钢，规格：A型 Ø20mm，精度：IT7级。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（14）圆螺母用止动垫圈1个，材料：Q235钢，规格：Ø25mm，精度：IT7级。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（15）圆螺母1个，材料：45#钢，规格：M25×1.5，精度：IT7级。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（16）圆柱滚子轴承1个，材料：轴承钢，规格：304E，精度：IT6级。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（17）调心滚子轴承1个，材料：轴承钢，规格：22205CC/W3，精度：IT6级。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（18）O型圈2个，材料：丁腈橡胶，规格：Ø51.5x2.65mm，精度：IT7级。</w:t>
            </w:r>
          </w:p>
          <w:p w14:paraId="15208E7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 xml:space="preserve">9.3机床主轴模型 </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主要由模拟主轴、轴承（角接触轴承和深沟球轴承两种）及轴承座、轴承座垫块（带调整 装置）、底板、卡盘等组成。</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（1）底板1块，材料：6063铝合金，规格：180x210x12mm，精度，IT7级，粗糙度≤3.2μm。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（2）主轴1根，材料：45#钢，规格：Ø32x202mm，精度：IT6级，粗糙度≤3.2μm。</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（3）固定端轴承座1个，材料：6063铝合金，规格：25mm，精度：IT6级。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（4）活动端轴承座1个，材料：6063铝合金，规格：25mm，精度：IT6级。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（5）固定端轴承座垫块1个，材料：6063铝合金，规格：160x42x75mm，精度：IT7级。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（6）活动端轴承座垫块1个，材料：6063铝合金，规格：160x30x75mm，精度：IT7级。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（7）轴承座调整块4个，材料：6063铝合金，规格：30x15x35mm，精度：IT7级。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（8）三爪卡盘固定法兰1个，材料：6063铝合金，规格：Ø80x45mm，精度：IT7级。</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（9）三爪卡盘1个，材料：6063铝合金，规格：手动联动80mm，精度：IT7级。</w:t>
            </w:r>
          </w:p>
          <w:p w14:paraId="2EE4750F">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kern w:val="2"/>
                <w:sz w:val="21"/>
                <w:szCs w:val="21"/>
                <w:highlight w:val="none"/>
                <w:lang w:val="en-US" w:eastAsia="zh-CN" w:bidi="ar-SA"/>
              </w:rPr>
              <w:t>10、</w:t>
            </w:r>
            <w:r>
              <w:rPr>
                <w:rFonts w:hint="eastAsia" w:ascii="仿宋" w:hAnsi="仿宋" w:eastAsia="仿宋" w:cs="仿宋"/>
                <w:sz w:val="21"/>
                <w:szCs w:val="21"/>
                <w:highlight w:val="none"/>
                <w:lang w:val="en-US" w:eastAsia="zh-CN"/>
              </w:rPr>
              <w:t>配件（工具）要求</w:t>
            </w:r>
          </w:p>
          <w:p w14:paraId="3625E50E">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i w:val="0"/>
                <w:iCs w:val="0"/>
                <w:color w:val="000000"/>
                <w:kern w:val="0"/>
                <w:sz w:val="21"/>
                <w:szCs w:val="21"/>
                <w:highlight w:val="none"/>
                <w:u w:val="none"/>
                <w:lang w:val="en-US" w:eastAsia="zh-CN" w:bidi="ar"/>
              </w:rPr>
              <w:t>（1）橡胶锤，16oz，1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（2）铁锤，规格：1 磅，全长 L≥320mm；1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（3）紫铜棒，Ø14-Ø18/250mm，1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（4）内六角扳手，9 件套，加长球头，1 套；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（5）扭力扳手，扭力范围不小于 5-25N·m，驱动头 3/8"，1 套；参考品牌：得力、绿林、世达、史丹利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（6）力扳手延长杆，150mm，1 把 ；参考品牌：得力、绿林、世达、史丹利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（7）内六角套筒，7 件套，1 套；参考品牌：得力、绿林、世达、史丹利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（8）截链器/紧链器，适用 08B 单、双排链，各1 把；参考品牌：得力、绿林、世达、史丹利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（9）板锉，6 寸，1 把；参考品牌：得力、绿林、世达、史丹利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（10）螺丝刀，一字、十字各 1 把，1 套；参考品牌：得力、绿林、世达、史丹利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（11）二爪拉马，6 寸，1 只；参考品牌：得力、绿林、世达、史丹利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（12）油枪（含机油），250ml，1 把；参考品牌：得力、绿林、世达、史丹利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（13）不锈钢调整垫片 A 型，6 种厚度规格（0.02mm、0.03mm、0.05mm、0.1mm、0.15mm、0.2mm 、0.3mm、0.5mm、1.0mm）， 每种各 10 片；参考品牌：仪迈、世达、得力、史丹利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（14）尖嘴钳，6 寸，1 把；参考品牌：得力、绿林、世达、史丹利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（15）活动扳手，1 把，10 寸；参考品牌：得力、绿林、世达、史丹利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（16）活动扳手，1 把，12 寸；参考品牌：得力、绿林、世达、史丹利</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（17）平行度测量套装，1 套；参考品牌：仪迈、上银、世达、得力</w:t>
            </w:r>
          </w:p>
          <w:p w14:paraId="4381E565">
            <w:pPr>
              <w:keepNext w:val="0"/>
              <w:keepLines w:val="0"/>
              <w:pageBreakBefore w:val="0"/>
              <w:widowControl w:val="0"/>
              <w:numPr>
                <w:ilvl w:val="0"/>
                <w:numId w:val="0"/>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11、配件（量具）要求</w:t>
            </w:r>
          </w:p>
          <w:p w14:paraId="332E947C">
            <w:pPr>
              <w:keepNext w:val="0"/>
              <w:keepLines w:val="0"/>
              <w:pageBreakBefore w:val="0"/>
              <w:widowControl w:val="0"/>
              <w:kinsoku/>
              <w:wordWrap/>
              <w:overflowPunct/>
              <w:topLinePunct w:val="0"/>
              <w:autoSpaceDE/>
              <w:autoSpaceDN/>
              <w:bidi w:val="0"/>
              <w:snapToGrid/>
              <w:spacing w:line="240" w:lineRule="exact"/>
              <w:jc w:val="left"/>
              <w:textAlignment w:val="auto"/>
              <w:rPr>
                <w:rFonts w:hint="eastAsia" w:ascii="仿宋" w:hAnsi="仿宋" w:eastAsia="仿宋" w:cs="Times New Roman"/>
                <w:color w:val="000000"/>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（1）钢直尺，0-500mm，1 把；参考品牌：上工、哈量、英示、成量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（2）卷尺，3 米，1 把；参考品牌：上工、哈量、英示、成量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（3）组合角尺，300mm，1 把；参考品牌：上工、哈量、英示、成量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（4）刀口角尺，50x80，1 把；参考品牌：上工、哈量、英示、成量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（5）角尺，60x60x300，1 把；参考品牌：得力、世达、英示、绿林</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（6）数显游标卡尺，0-150mm，1 把；参考品牌：上工、哈量、英示、成量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（7）游标卡尺，0-500mm，1 套；参考品牌：上工、哈量、英示、成量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（8）百分表，0-10mm，1 套； 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（9）杠杠百分表，0-0.8mm，分度值 0.01mm，1 套；参考品牌：上工、哈量、英示、成量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（10）万向磁力表座， 夹持孔径φ8mm，1 套；参考品牌：上工、哈量、英示、成量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（11）袖珍磁力表座，夹持孔径φ8mm 带燕尾，1 套；参考品牌：上工、哈量、英示、成量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（12）平测头（钢），D=20mm，1 个；参考品牌：上工、哈量、英示、成量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（13）塞尺，0.02-1.00mm，1 套；参考品牌：得力、哈量、英示、成量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（14）笔式皮带张力计，≥130N，1 把 ；参考品牌：得力、哈量、英示、成量</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（15）测速仪，支持 3 种 测速模式，1 套；参考品牌：优利德、胜利、特安斯、世达</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（16）红外线测温仪，1 套；参考品牌：优利德、胜利、特安斯、世达</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2E1B34FB">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D8828E7">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489DF5FA">
            <w:pPr>
              <w:jc w:val="center"/>
              <w:rPr>
                <w:rFonts w:ascii="仿宋" w:hAnsi="仿宋" w:eastAsia="仿宋" w:cs="Times New Roman"/>
                <w:color w:val="000000"/>
                <w:sz w:val="24"/>
                <w:highlight w:val="none"/>
              </w:rPr>
            </w:pPr>
          </w:p>
        </w:tc>
      </w:tr>
      <w:tr w14:paraId="3D742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0" w:type="dxa"/>
            <w:vMerge w:val="continue"/>
            <w:tcBorders>
              <w:left w:val="single" w:color="auto" w:sz="4" w:space="0"/>
              <w:right w:val="single" w:color="auto" w:sz="4" w:space="0"/>
            </w:tcBorders>
            <w:noWrap w:val="0"/>
            <w:vAlign w:val="center"/>
          </w:tcPr>
          <w:p w14:paraId="4ADD2DF5">
            <w:pPr>
              <w:jc w:val="center"/>
              <w:rPr>
                <w:rFonts w:hint="eastAsia" w:ascii="仿宋" w:hAnsi="仿宋" w:eastAsia="仿宋" w:cs="Times New Roman"/>
                <w:color w:val="000000"/>
                <w:sz w:val="24"/>
                <w:highlight w:val="none"/>
                <w:lang w:val="en-US" w:eastAsia="zh-CN"/>
              </w:rPr>
            </w:pPr>
          </w:p>
        </w:tc>
        <w:tc>
          <w:tcPr>
            <w:tcW w:w="811" w:type="dxa"/>
            <w:vMerge w:val="continue"/>
            <w:tcBorders>
              <w:left w:val="single" w:color="auto" w:sz="4" w:space="0"/>
              <w:right w:val="single" w:color="auto" w:sz="4" w:space="0"/>
            </w:tcBorders>
            <w:noWrap w:val="0"/>
            <w:vAlign w:val="center"/>
          </w:tcPr>
          <w:p w14:paraId="4260B7E6">
            <w:pPr>
              <w:jc w:val="center"/>
              <w:rPr>
                <w:rFonts w:hint="eastAsia" w:ascii="仿宋" w:hAnsi="仿宋" w:eastAsia="仿宋" w:cs="Times New Roman"/>
                <w:color w:val="000000"/>
                <w:sz w:val="24"/>
                <w:highlight w:val="none"/>
                <w:lang w:val="en-US" w:eastAsia="zh-CN"/>
              </w:rPr>
            </w:pPr>
          </w:p>
        </w:tc>
        <w:tc>
          <w:tcPr>
            <w:tcW w:w="7030" w:type="dxa"/>
            <w:tcBorders>
              <w:top w:val="single" w:color="auto" w:sz="4" w:space="0"/>
              <w:left w:val="single" w:color="auto" w:sz="4" w:space="0"/>
              <w:bottom w:val="single" w:color="auto" w:sz="4" w:space="0"/>
              <w:right w:val="single" w:color="auto" w:sz="4" w:space="0"/>
            </w:tcBorders>
            <w:noWrap w:val="0"/>
            <w:vAlign w:val="top"/>
          </w:tcPr>
          <w:p w14:paraId="0060D42B">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、智慧实验室综合管理系统</w:t>
            </w:r>
          </w:p>
          <w:p w14:paraId="693F53E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智慧实验室综合管理系统集学、仿、考、评、存、修六位一体。可实现课前视频自主学习、理论在线仿真、知识掌握考核、学习质量评价、实验报告云端存储、实训设备报修等功能。系统设置多种身份登录权限，可满足学员、教师、管理员等不同角色的使用要求。整个系统采用跨平台的B/S框架，各个模块采用模块化方式进行开发和设计，各个子模块支持分布式部署和云部署。并且系统能够同时满足手机、微信小程序、平板和计算机等多终端设备的访问。</w:t>
            </w:r>
          </w:p>
          <w:p w14:paraId="60A02562">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（1）云图书馆模块</w:t>
            </w:r>
          </w:p>
          <w:p w14:paraId="475D20F5">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提供一个云端图书，可能根据实训设备找到相应配套资料，至少包含文档、图片、音频、动画等文件，以良好的3D仿真形式翻阅使用。可进行文本搜索、文本黏贴复制、放大、缩小、设置下载、打印、分享等功能。</w:t>
            </w:r>
          </w:p>
          <w:p w14:paraId="3CA50C4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（2）自主学习模块</w:t>
            </w:r>
          </w:p>
          <w:p w14:paraId="4EE780E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主要包含工业机器人资源、可编程控制器资源、工业驱动资源、智能电梯资源、气动技术资源、液压技术资源、触摸屏资源、电气控制技术资源、工业机械资源、钳工资源等。</w:t>
            </w:r>
          </w:p>
          <w:p w14:paraId="3A7B808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（3）在线仿真模块</w:t>
            </w:r>
          </w:p>
          <w:p w14:paraId="31BF247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平台设有在线仿真实验模块，提供标准实验类别不少于18种，具体实验仿真项目不少于105个，利用元件库可进行设计性实验，支持Dropdox导入实验，可作为链接、文本、图片等多种形式导出以及打印。</w:t>
            </w:r>
          </w:p>
          <w:p w14:paraId="44FFD121">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（4）学习考评模块</w:t>
            </w:r>
          </w:p>
          <w:p w14:paraId="5060CD10">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p>
          <w:p w14:paraId="24BD3D2A">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（5）实验数据云管理模块</w:t>
            </w:r>
          </w:p>
          <w:p w14:paraId="5E9A1A9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通过人工智能算法进行图像的处理，可实现了多设备跨平台应用，在线查看阅览学生上传报告信息内容，批注等信息，学生信息根据班级、学号、年级等信息排列显示，也可单独通过搜索关键字阅览，可增加优秀报告标记或分享他人等功能。</w:t>
            </w:r>
          </w:p>
          <w:p w14:paraId="587858FE">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（6）设备报修管理模块</w:t>
            </w:r>
          </w:p>
          <w:p w14:paraId="0F2E6343">
            <w:pPr>
              <w:keepNext w:val="0"/>
              <w:keepLines w:val="0"/>
              <w:pageBreakBefore w:val="0"/>
              <w:widowControl w:val="0"/>
              <w:kinsoku/>
              <w:wordWrap/>
              <w:overflowPunct/>
              <w:topLinePunct w:val="0"/>
              <w:bidi w:val="0"/>
              <w:adjustRightInd w:val="0"/>
              <w:spacing w:line="260" w:lineRule="exact"/>
              <w:textAlignment w:val="auto"/>
              <w:outlineLvl w:val="9"/>
              <w:rPr>
                <w:rFonts w:hint="eastAsia" w:ascii="仿宋" w:hAnsi="仿宋" w:eastAsia="仿宋" w:cs="仿宋"/>
                <w:sz w:val="21"/>
                <w:szCs w:val="21"/>
                <w:highlight w:val="none"/>
              </w:rPr>
            </w:pPr>
            <w:r>
              <w:rPr>
                <w:rFonts w:hint="eastAsia" w:ascii="仿宋" w:hAnsi="仿宋" w:eastAsia="仿宋" w:cs="仿宋"/>
                <w:sz w:val="21"/>
                <w:szCs w:val="21"/>
                <w:highlight w:val="none"/>
              </w:rPr>
              <w:t>输入出厂编码可查看设备信息，包括产品型号、名称、出厂日期、过保日期、出厂报告、设备装箱单、实验指导书等。能够通过系统发送文字、图片、视频等多种形式进行保修，可实时参看报修进度，维修完成后可进行服务评价。</w:t>
            </w:r>
          </w:p>
          <w:p w14:paraId="4AAD5F59">
            <w:pPr>
              <w:jc w:val="left"/>
              <w:rPr>
                <w:rFonts w:hint="eastAsia" w:ascii="仿宋" w:hAnsi="仿宋" w:eastAsia="仿宋" w:cs="Times New Roman"/>
                <w:color w:val="000000"/>
                <w:sz w:val="24"/>
                <w:highlight w:val="none"/>
              </w:rPr>
            </w:pPr>
            <w:r>
              <w:rPr>
                <w:rFonts w:hint="eastAsia" w:ascii="仿宋" w:hAnsi="仿宋" w:eastAsia="仿宋" w:cs="仿宋"/>
                <w:b/>
                <w:bCs/>
                <w:i w:val="0"/>
                <w:iCs w:val="0"/>
                <w:color w:val="auto"/>
                <w:sz w:val="21"/>
                <w:szCs w:val="21"/>
                <w:highlight w:val="none"/>
                <w:u w:val="none"/>
                <w:lang w:val="en-US" w:eastAsia="zh-CN" w:bidi="ar"/>
              </w:rPr>
              <w:t>（7）中标人在中标公告发布后3个工作日内提供样机演示，不提供或演示不通过采购人可取消其中标资格。</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3BFEECD6">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E8739DC">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361F1E62">
            <w:pPr>
              <w:jc w:val="center"/>
              <w:rPr>
                <w:rFonts w:ascii="仿宋" w:hAnsi="仿宋" w:eastAsia="仿宋" w:cs="Times New Roman"/>
                <w:color w:val="000000"/>
                <w:sz w:val="24"/>
                <w:highlight w:val="none"/>
              </w:rPr>
            </w:pPr>
          </w:p>
        </w:tc>
      </w:tr>
      <w:tr w14:paraId="48FD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0" w:type="dxa"/>
            <w:tcBorders>
              <w:top w:val="single" w:color="auto" w:sz="4" w:space="0"/>
              <w:left w:val="single" w:color="auto" w:sz="4" w:space="0"/>
              <w:bottom w:val="single" w:color="auto" w:sz="4" w:space="0"/>
              <w:right w:val="single" w:color="auto" w:sz="4" w:space="0"/>
            </w:tcBorders>
            <w:noWrap w:val="0"/>
            <w:vAlign w:val="center"/>
          </w:tcPr>
          <w:p w14:paraId="0A14DD52">
            <w:pPr>
              <w:keepNext w:val="0"/>
              <w:keepLines w:val="0"/>
              <w:pageBreakBefore w:val="0"/>
              <w:widowControl w:val="0"/>
              <w:kinsoku/>
              <w:wordWrap/>
              <w:overflowPunct/>
              <w:topLinePunct w:val="0"/>
              <w:bidi w:val="0"/>
              <w:adjustRightInd w:val="0"/>
              <w:spacing w:line="260" w:lineRule="exact"/>
              <w:jc w:val="center"/>
              <w:textAlignment w:val="auto"/>
              <w:outlineLvl w:val="9"/>
              <w:rPr>
                <w:rFonts w:hint="eastAsia" w:ascii="仿宋" w:hAnsi="仿宋" w:eastAsia="仿宋" w:cs="Times New Roman"/>
                <w:color w:val="000000"/>
                <w:sz w:val="22"/>
                <w:szCs w:val="22"/>
                <w:highlight w:val="none"/>
                <w:lang w:val="en-US" w:eastAsia="zh-CN"/>
              </w:rPr>
            </w:pPr>
            <w:r>
              <w:rPr>
                <w:rFonts w:hint="eastAsia" w:ascii="仿宋" w:hAnsi="仿宋" w:eastAsia="仿宋" w:cs="仿宋"/>
                <w:kern w:val="0"/>
                <w:sz w:val="22"/>
                <w:szCs w:val="22"/>
                <w:highlight w:val="none"/>
              </w:rPr>
              <w:t>3</w:t>
            </w:r>
          </w:p>
        </w:tc>
        <w:tc>
          <w:tcPr>
            <w:tcW w:w="811" w:type="dxa"/>
            <w:tcBorders>
              <w:top w:val="single" w:color="auto" w:sz="4" w:space="0"/>
              <w:left w:val="single" w:color="auto" w:sz="4" w:space="0"/>
              <w:bottom w:val="single" w:color="auto" w:sz="4" w:space="0"/>
              <w:right w:val="single" w:color="auto" w:sz="4" w:space="0"/>
            </w:tcBorders>
            <w:noWrap w:val="0"/>
            <w:vAlign w:val="center"/>
          </w:tcPr>
          <w:p w14:paraId="29ED2CF1">
            <w:pPr>
              <w:keepNext w:val="0"/>
              <w:keepLines w:val="0"/>
              <w:pageBreakBefore w:val="0"/>
              <w:widowControl w:val="0"/>
              <w:kinsoku/>
              <w:wordWrap/>
              <w:overflowPunct/>
              <w:topLinePunct w:val="0"/>
              <w:autoSpaceDE/>
              <w:autoSpaceDN/>
              <w:bidi w:val="0"/>
              <w:adjustRightInd w:val="0"/>
              <w:snapToGrid/>
              <w:spacing w:line="240" w:lineRule="exact"/>
              <w:jc w:val="center"/>
              <w:textAlignment w:val="auto"/>
              <w:outlineLvl w:val="9"/>
              <w:rPr>
                <w:rFonts w:hint="eastAsia" w:ascii="仿宋" w:hAnsi="仿宋" w:eastAsia="仿宋" w:cs="Times New Roman"/>
                <w:color w:val="000000"/>
                <w:sz w:val="21"/>
                <w:szCs w:val="21"/>
                <w:highlight w:val="none"/>
                <w:lang w:val="en-US" w:eastAsia="zh-CN"/>
              </w:rPr>
            </w:pPr>
            <w:r>
              <w:rPr>
                <w:rFonts w:hint="eastAsia" w:ascii="仿宋" w:hAnsi="仿宋" w:eastAsia="仿宋" w:cs="仿宋"/>
                <w:kern w:val="0"/>
                <w:sz w:val="21"/>
                <w:szCs w:val="21"/>
                <w:highlight w:val="none"/>
              </w:rPr>
              <w:t>实训室配套基础设施</w:t>
            </w:r>
          </w:p>
        </w:tc>
        <w:tc>
          <w:tcPr>
            <w:tcW w:w="7030" w:type="dxa"/>
            <w:tcBorders>
              <w:top w:val="single" w:color="auto" w:sz="4" w:space="0"/>
              <w:left w:val="single" w:color="auto" w:sz="4" w:space="0"/>
              <w:bottom w:val="single" w:color="auto" w:sz="4" w:space="0"/>
              <w:right w:val="single" w:color="auto" w:sz="4" w:space="0"/>
            </w:tcBorders>
            <w:noWrap w:val="0"/>
            <w:vAlign w:val="center"/>
          </w:tcPr>
          <w:p w14:paraId="65A86048">
            <w:pPr>
              <w:keepNext w:val="0"/>
              <w:keepLines w:val="0"/>
              <w:pageBreakBefore w:val="0"/>
              <w:widowControl w:val="0"/>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须包含：</w:t>
            </w:r>
          </w:p>
          <w:p w14:paraId="4751E693">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短型液压千斤顶 RSC2050  5套；</w:t>
            </w:r>
          </w:p>
          <w:p w14:paraId="1CEFCD20">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手动液压泵 CP-180 5套；</w:t>
            </w:r>
          </w:p>
          <w:p w14:paraId="0F839961">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齿轮箱 K37/83 69/M1/A 5套；</w:t>
            </w:r>
          </w:p>
          <w:p w14:paraId="5E73C594">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雅马哈发动机 MX200 5套；</w:t>
            </w:r>
          </w:p>
          <w:p w14:paraId="3B3AF3D1">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仿宋"/>
                <w:i w:val="0"/>
                <w:iCs w:val="0"/>
                <w:color w:val="000000"/>
                <w:kern w:val="0"/>
                <w:sz w:val="21"/>
                <w:szCs w:val="21"/>
                <w:highlight w:val="none"/>
                <w:u w:val="none"/>
                <w:lang w:val="en-US" w:eastAsia="zh-CN" w:bidi="ar"/>
              </w:rPr>
            </w:pPr>
            <w:r>
              <w:rPr>
                <w:rFonts w:hint="eastAsia" w:ascii="仿宋" w:hAnsi="仿宋" w:eastAsia="仿宋" w:cs="仿宋"/>
                <w:i w:val="0"/>
                <w:iCs w:val="0"/>
                <w:color w:val="000000"/>
                <w:kern w:val="0"/>
                <w:sz w:val="21"/>
                <w:szCs w:val="21"/>
                <w:highlight w:val="none"/>
                <w:u w:val="none"/>
                <w:lang w:val="en-US" w:eastAsia="zh-CN" w:bidi="ar"/>
              </w:rPr>
              <w:t>C207设备的搬运（设备较重从二楼搬到一楼需要用到吊车）、装修布线 1项（设备调试线三相四线6个平方的线及空调线）；</w:t>
            </w:r>
          </w:p>
          <w:p w14:paraId="3ADFD528">
            <w:pPr>
              <w:keepNext w:val="0"/>
              <w:keepLines w:val="0"/>
              <w:pageBreakBefore w:val="0"/>
              <w:widowControl w:val="0"/>
              <w:numPr>
                <w:ilvl w:val="0"/>
                <w:numId w:val="1"/>
              </w:numPr>
              <w:kinsoku/>
              <w:wordWrap/>
              <w:overflowPunct/>
              <w:topLinePunct w:val="0"/>
              <w:autoSpaceDE/>
              <w:autoSpaceDN/>
              <w:bidi w:val="0"/>
              <w:adjustRightInd w:val="0"/>
              <w:snapToGrid/>
              <w:spacing w:line="240" w:lineRule="exact"/>
              <w:textAlignment w:val="auto"/>
              <w:outlineLvl w:val="9"/>
              <w:rPr>
                <w:rFonts w:hint="eastAsia" w:ascii="仿宋" w:hAnsi="仿宋" w:eastAsia="仿宋" w:cs="Times New Roman"/>
                <w:color w:val="000000"/>
                <w:sz w:val="21"/>
                <w:szCs w:val="21"/>
                <w:highlight w:val="none"/>
              </w:rPr>
            </w:pPr>
            <w:r>
              <w:rPr>
                <w:rFonts w:hint="eastAsia" w:ascii="仿宋" w:hAnsi="仿宋" w:eastAsia="仿宋" w:cs="仿宋"/>
                <w:i w:val="0"/>
                <w:iCs w:val="0"/>
                <w:color w:val="000000"/>
                <w:kern w:val="0"/>
                <w:sz w:val="21"/>
                <w:szCs w:val="21"/>
                <w:highlight w:val="none"/>
                <w:u w:val="none"/>
                <w:lang w:val="en-US" w:eastAsia="zh-CN" w:bidi="ar"/>
              </w:rPr>
              <w:t>C207文化布置 1项。</w:t>
            </w:r>
          </w:p>
        </w:tc>
        <w:tc>
          <w:tcPr>
            <w:tcW w:w="1086" w:type="dxa"/>
            <w:tcBorders>
              <w:top w:val="single" w:color="auto" w:sz="4" w:space="0"/>
              <w:left w:val="single" w:color="auto" w:sz="4" w:space="0"/>
              <w:bottom w:val="single" w:color="auto" w:sz="4" w:space="0"/>
              <w:right w:val="single" w:color="auto" w:sz="4" w:space="0"/>
            </w:tcBorders>
            <w:noWrap w:val="0"/>
            <w:vAlign w:val="top"/>
          </w:tcPr>
          <w:p w14:paraId="27C8C3B9">
            <w:pPr>
              <w:jc w:val="center"/>
              <w:rPr>
                <w:rFonts w:ascii="仿宋" w:hAnsi="仿宋" w:eastAsia="仿宋" w:cs="Times New Roman"/>
                <w:color w:val="000000"/>
                <w:sz w:val="24"/>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CB86118">
            <w:pPr>
              <w:jc w:val="center"/>
              <w:rPr>
                <w:rFonts w:ascii="仿宋" w:hAnsi="仿宋" w:eastAsia="仿宋" w:cs="Times New Roman"/>
                <w:color w:val="000000"/>
                <w:sz w:val="24"/>
                <w:highlight w:val="none"/>
              </w:rPr>
            </w:pPr>
          </w:p>
        </w:tc>
        <w:tc>
          <w:tcPr>
            <w:tcW w:w="533" w:type="dxa"/>
            <w:tcBorders>
              <w:top w:val="single" w:color="auto" w:sz="4" w:space="0"/>
              <w:left w:val="single" w:color="auto" w:sz="4" w:space="0"/>
              <w:bottom w:val="single" w:color="auto" w:sz="4" w:space="0"/>
              <w:right w:val="single" w:color="auto" w:sz="4" w:space="0"/>
            </w:tcBorders>
            <w:noWrap w:val="0"/>
            <w:vAlign w:val="top"/>
          </w:tcPr>
          <w:p w14:paraId="4A84B68F">
            <w:pPr>
              <w:jc w:val="center"/>
              <w:rPr>
                <w:rFonts w:ascii="仿宋" w:hAnsi="仿宋" w:eastAsia="仿宋" w:cs="Times New Roman"/>
                <w:color w:val="000000"/>
                <w:sz w:val="24"/>
                <w:highlight w:val="none"/>
              </w:rPr>
            </w:pPr>
          </w:p>
        </w:tc>
      </w:tr>
    </w:tbl>
    <w:p w14:paraId="05F0C131">
      <w:pPr>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法定代表人或授权代表签字：</w:t>
      </w:r>
    </w:p>
    <w:p w14:paraId="112F98A5">
      <w:pPr>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注：1.</w:t>
      </w:r>
      <w:r>
        <w:rPr>
          <w:rFonts w:hint="eastAsia" w:ascii="仿宋" w:hAnsi="仿宋" w:eastAsia="仿宋" w:cs="Times New Roman"/>
          <w:color w:val="000000"/>
          <w:sz w:val="24"/>
          <w:highlight w:val="none"/>
        </w:rPr>
        <w:t>以上技术参数均不允许负偏离；加★项目须在响应文件中须提供佐证材料，佐证材料上传至技术正负偏离表中，未提供佐证材料视为负偏离。</w:t>
      </w:r>
    </w:p>
    <w:p w14:paraId="2CEA2898">
      <w:pPr>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lang w:val="en-US" w:eastAsia="zh-CN"/>
        </w:rPr>
        <w:t>2.项目中有列明的品牌为优先选用的品牌，响应供应商也可选用其他品牌替代，响应供应商选择其它品牌响应，则其品牌知名度、信誉度、质量、性能、技术指标等综合水平要相当于或优于参考品牌。相当于或优于参考品牌的证明材料由响应供应商提供，证明材料至少包含所投产品相当于或优于参考品牌的检测报告；所投产品公开发布的印刷资料、技术白皮书、技术规格书、产品使用说明书等，由评委确认该品牌是否符合本项目相关要求，符合的予以通过，不符合的作无效响应处理。</w:t>
      </w:r>
    </w:p>
    <w:p w14:paraId="4E04F06E">
      <w:pPr>
        <w:rPr>
          <w:rFonts w:ascii="Calibri" w:hAnsi="Calibri"/>
          <w:highlight w:val="none"/>
        </w:rPr>
      </w:pPr>
    </w:p>
    <w:p w14:paraId="17E23C32">
      <w:pPr>
        <w:ind w:firstLine="560" w:firstLineChars="200"/>
        <w:rPr>
          <w:rFonts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w:t>
      </w:r>
      <w:r>
        <w:rPr>
          <w:rFonts w:hint="eastAsia" w:ascii="仿宋" w:hAnsi="仿宋" w:eastAsia="仿宋"/>
          <w:bCs/>
          <w:sz w:val="28"/>
          <w:szCs w:val="28"/>
          <w:highlight w:val="none"/>
          <w:lang w:val="en-US" w:eastAsia="zh-CN"/>
        </w:rPr>
        <w:t>二</w:t>
      </w:r>
      <w:r>
        <w:rPr>
          <w:rFonts w:hint="eastAsia" w:ascii="仿宋" w:hAnsi="仿宋" w:eastAsia="仿宋"/>
          <w:bCs/>
          <w:sz w:val="28"/>
          <w:szCs w:val="28"/>
          <w:highlight w:val="none"/>
        </w:rPr>
        <w:t>）商务部分正负偏离表</w:t>
      </w:r>
    </w:p>
    <w:p w14:paraId="16792712">
      <w:pPr>
        <w:jc w:val="center"/>
        <w:rPr>
          <w:rFonts w:ascii="方正小标宋简体" w:hAnsi="宋体" w:eastAsia="方正小标宋简体" w:cs="Times New Roman"/>
          <w:sz w:val="32"/>
          <w:szCs w:val="32"/>
          <w:highlight w:val="none"/>
        </w:rPr>
      </w:pPr>
      <w:r>
        <w:rPr>
          <w:rFonts w:hint="eastAsia" w:ascii="方正小标宋简体" w:hAnsi="宋体" w:eastAsia="方正小标宋简体" w:cs="Times New Roman"/>
          <w:sz w:val="32"/>
          <w:szCs w:val="32"/>
          <w:highlight w:val="none"/>
        </w:rPr>
        <w:t>商务部分正负偏离表</w:t>
      </w:r>
    </w:p>
    <w:p w14:paraId="74D4726A">
      <w:pPr>
        <w:rPr>
          <w:rFonts w:ascii="仿宋" w:hAnsi="仿宋" w:eastAsia="仿宋" w:cs="Times New Roman"/>
          <w:sz w:val="24"/>
          <w:highlight w:val="none"/>
        </w:rPr>
      </w:pPr>
      <w:r>
        <w:rPr>
          <w:rFonts w:hint="eastAsia" w:ascii="仿宋" w:hAnsi="仿宋" w:eastAsia="仿宋" w:cs="Times New Roman"/>
          <w:sz w:val="24"/>
          <w:highlight w:val="none"/>
        </w:rPr>
        <w:t xml:space="preserve">供应商全称（加盖公章）：        </w:t>
      </w:r>
    </w:p>
    <w:tbl>
      <w:tblPr>
        <w:tblStyle w:val="19"/>
        <w:tblW w:w="599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46"/>
        <w:gridCol w:w="783"/>
        <w:gridCol w:w="7199"/>
        <w:gridCol w:w="1061"/>
        <w:gridCol w:w="1433"/>
        <w:gridCol w:w="547"/>
      </w:tblGrid>
      <w:tr w14:paraId="75D5E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4071405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Times New Roman"/>
                <w:sz w:val="24"/>
                <w:highlight w:val="none"/>
              </w:rPr>
            </w:pPr>
            <w:r>
              <w:rPr>
                <w:rFonts w:hint="eastAsia" w:ascii="仿宋" w:hAnsi="仿宋" w:eastAsia="仿宋" w:cs="Times New Roman"/>
                <w:sz w:val="24"/>
                <w:highlight w:val="none"/>
              </w:rPr>
              <w:t>序号</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1570A389">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imes New Roman"/>
                <w:sz w:val="24"/>
                <w:highlight w:val="none"/>
              </w:rPr>
            </w:pPr>
            <w:r>
              <w:rPr>
                <w:rFonts w:hint="eastAsia" w:ascii="仿宋" w:hAnsi="仿宋" w:eastAsia="仿宋" w:cs="Times New Roman"/>
                <w:sz w:val="24"/>
                <w:highlight w:val="none"/>
              </w:rPr>
              <w:t>商务条款</w:t>
            </w:r>
          </w:p>
        </w:tc>
        <w:tc>
          <w:tcPr>
            <w:tcW w:w="7200" w:type="dxa"/>
            <w:tcBorders>
              <w:top w:val="single" w:color="auto" w:sz="4" w:space="0"/>
              <w:left w:val="single" w:color="auto" w:sz="4" w:space="0"/>
              <w:bottom w:val="single" w:color="auto" w:sz="4" w:space="0"/>
              <w:right w:val="single" w:color="auto" w:sz="4" w:space="0"/>
            </w:tcBorders>
            <w:noWrap w:val="0"/>
            <w:vAlign w:val="center"/>
          </w:tcPr>
          <w:p w14:paraId="2279B895">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imes New Roman"/>
                <w:sz w:val="24"/>
                <w:highlight w:val="none"/>
              </w:rPr>
            </w:pPr>
            <w:r>
              <w:rPr>
                <w:rFonts w:hint="eastAsia" w:ascii="仿宋" w:hAnsi="仿宋" w:eastAsia="仿宋" w:cs="Times New Roman"/>
                <w:sz w:val="24"/>
                <w:highlight w:val="none"/>
              </w:rPr>
              <w:t>竞争性谈判文件要求</w:t>
            </w:r>
          </w:p>
        </w:tc>
        <w:tc>
          <w:tcPr>
            <w:tcW w:w="1061" w:type="dxa"/>
            <w:tcBorders>
              <w:top w:val="single" w:color="auto" w:sz="4" w:space="0"/>
              <w:left w:val="single" w:color="auto" w:sz="4" w:space="0"/>
              <w:bottom w:val="single" w:color="auto" w:sz="4" w:space="0"/>
              <w:right w:val="single" w:color="auto" w:sz="4" w:space="0"/>
            </w:tcBorders>
            <w:noWrap w:val="0"/>
            <w:vAlign w:val="center"/>
          </w:tcPr>
          <w:p w14:paraId="750F0476">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Times New Roman"/>
                <w:sz w:val="24"/>
                <w:highlight w:val="none"/>
              </w:rPr>
            </w:pPr>
            <w:r>
              <w:rPr>
                <w:rFonts w:hint="eastAsia" w:ascii="仿宋" w:hAnsi="仿宋" w:eastAsia="仿宋" w:cs="Times New Roman"/>
                <w:color w:val="000000"/>
                <w:sz w:val="24"/>
                <w:highlight w:val="none"/>
              </w:rPr>
              <w:t>供应商响应具体情况</w:t>
            </w:r>
          </w:p>
        </w:tc>
        <w:tc>
          <w:tcPr>
            <w:tcW w:w="1433" w:type="dxa"/>
            <w:tcBorders>
              <w:top w:val="single" w:color="auto" w:sz="4" w:space="0"/>
              <w:left w:val="single" w:color="auto" w:sz="4" w:space="0"/>
              <w:bottom w:val="single" w:color="auto" w:sz="4" w:space="0"/>
              <w:right w:val="single" w:color="auto" w:sz="4" w:space="0"/>
            </w:tcBorders>
            <w:noWrap w:val="0"/>
            <w:vAlign w:val="center"/>
          </w:tcPr>
          <w:p w14:paraId="564257F8">
            <w:pPr>
              <w:keepNext w:val="0"/>
              <w:keepLines w:val="0"/>
              <w:pageBreakBefore w:val="0"/>
              <w:widowControl w:val="0"/>
              <w:kinsoku/>
              <w:wordWrap/>
              <w:overflowPunct/>
              <w:topLinePunct w:val="0"/>
              <w:autoSpaceDE/>
              <w:autoSpaceDN/>
              <w:bidi w:val="0"/>
              <w:adjustRightInd/>
              <w:jc w:val="center"/>
              <w:textAlignment w:val="auto"/>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结论（正偏离、符合或负偏离）</w:t>
            </w:r>
          </w:p>
        </w:tc>
        <w:tc>
          <w:tcPr>
            <w:tcW w:w="547" w:type="dxa"/>
            <w:tcBorders>
              <w:top w:val="single" w:color="auto" w:sz="4" w:space="0"/>
              <w:left w:val="single" w:color="auto" w:sz="4" w:space="0"/>
              <w:bottom w:val="single" w:color="auto" w:sz="4" w:space="0"/>
              <w:right w:val="single" w:color="auto" w:sz="4" w:space="0"/>
            </w:tcBorders>
            <w:noWrap w:val="0"/>
            <w:vAlign w:val="center"/>
          </w:tcPr>
          <w:p w14:paraId="7964E9CA">
            <w:pPr>
              <w:keepNext w:val="0"/>
              <w:keepLines w:val="0"/>
              <w:pageBreakBefore w:val="0"/>
              <w:widowControl w:val="0"/>
              <w:kinsoku/>
              <w:wordWrap/>
              <w:overflowPunct/>
              <w:topLinePunct w:val="0"/>
              <w:autoSpaceDE/>
              <w:autoSpaceDN/>
              <w:bidi w:val="0"/>
              <w:adjustRightInd/>
              <w:jc w:val="center"/>
              <w:textAlignment w:val="auto"/>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备注</w:t>
            </w:r>
          </w:p>
        </w:tc>
      </w:tr>
      <w:tr w14:paraId="69ED5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7621DEF6">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1</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226F0AC5">
            <w:pPr>
              <w:keepNext w:val="0"/>
              <w:keepLines w:val="0"/>
              <w:pageBreakBefore w:val="0"/>
              <w:widowControl w:val="0"/>
              <w:kinsoku/>
              <w:wordWrap/>
              <w:overflowPunct/>
              <w:topLinePunct w:val="0"/>
              <w:autoSpaceDE/>
              <w:autoSpaceDN/>
              <w:bidi w:val="0"/>
              <w:adjustRightInd/>
              <w:snapToGrid w:val="0"/>
              <w:spacing w:line="240" w:lineRule="exact"/>
              <w:jc w:val="center"/>
              <w:textAlignment w:val="auto"/>
              <w:rPr>
                <w:rFonts w:hint="default"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质量标准</w:t>
            </w:r>
          </w:p>
        </w:tc>
        <w:tc>
          <w:tcPr>
            <w:tcW w:w="7200" w:type="dxa"/>
            <w:tcBorders>
              <w:top w:val="single" w:color="auto" w:sz="4" w:space="0"/>
              <w:left w:val="single" w:color="auto" w:sz="4" w:space="0"/>
              <w:bottom w:val="single" w:color="auto" w:sz="4" w:space="0"/>
              <w:right w:val="single" w:color="auto" w:sz="4" w:space="0"/>
            </w:tcBorders>
            <w:noWrap w:val="0"/>
            <w:vAlign w:val="top"/>
          </w:tcPr>
          <w:p w14:paraId="533D01AE">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供应商须明确所投货物的生产厂家、品牌、型号、规格、外形和尺寸等。</w:t>
            </w:r>
          </w:p>
          <w:p w14:paraId="314F49A2">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p>
          <w:p w14:paraId="515AF433">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 xml:space="preserve">产品的包装，国家或行业主管部门有规定的，按规定执行。 </w:t>
            </w:r>
          </w:p>
          <w:p w14:paraId="6CA76FE8">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供应商应保证提供的产品不得侵犯第三方专利权、商标权和工业设计权、版权等。否则，成交供应商应负全部责任，并承担由此引起的一切后果。</w:t>
            </w:r>
          </w:p>
          <w:p w14:paraId="5157E255">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供应商应保证其货物在正确安装、正常使用和保养条件下，在其使用寿命期内应具有满意的性能。</w:t>
            </w:r>
          </w:p>
          <w:p w14:paraId="54F6136B">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供应商应采取必要的安全措施保证货物的运输及安装的安全，并承担货物的运输及安装过程中产生的风险。</w:t>
            </w:r>
          </w:p>
          <w:p w14:paraId="2E4AC261">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供应商必须保证所提供的产品符合国家相应质量要求，供货时必须随产品提供出厂材料，包括但不限于检验报告（复印件）、产品合格证（原件）以及设备的测试、运行、保养手册。</w:t>
            </w:r>
          </w:p>
          <w:p w14:paraId="7A72AC06">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供应商所供货物最终验收后，成交供应商应对由于设计、工艺或材料的缺陷而发生的任何不足或故障负责，并承担由此引起的一切后果。</w:t>
            </w:r>
          </w:p>
          <w:p w14:paraId="588AF5C9">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成交产品的技术标准按国家标准执行，无国家标准的，按行业标准执行，无国家和行业标准的，按企业标准执行；但在采购文件中有特别要求的，按采购文件中规定的要求执行，并且符合相关法律、法规规定的要求。</w:t>
            </w:r>
          </w:p>
          <w:p w14:paraId="3891873F">
            <w:pPr>
              <w:keepNext w:val="0"/>
              <w:keepLines w:val="0"/>
              <w:pageBreakBefore w:val="0"/>
              <w:widowControl w:val="0"/>
              <w:kinsoku/>
              <w:wordWrap/>
              <w:overflowPunct/>
              <w:topLinePunct w:val="0"/>
              <w:autoSpaceDE/>
              <w:autoSpaceDN/>
              <w:bidi w:val="0"/>
              <w:adjustRightInd/>
              <w:snapToGrid w:val="0"/>
              <w:spacing w:line="240" w:lineRule="exact"/>
              <w:jc w:val="left"/>
              <w:textAlignment w:val="auto"/>
              <w:rPr>
                <w:rFonts w:ascii="仿宋" w:hAnsi="仿宋" w:eastAsia="仿宋" w:cs="Times New Roman"/>
                <w:sz w:val="21"/>
                <w:szCs w:val="21"/>
                <w:highlight w:val="none"/>
              </w:rPr>
            </w:pP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5D93920E">
            <w:pPr>
              <w:snapToGrid w:val="0"/>
              <w:spacing w:before="156" w:beforeLines="50"/>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6CF8A4B9">
            <w:pPr>
              <w:snapToGrid w:val="0"/>
              <w:spacing w:before="156" w:beforeLines="50"/>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29CEF6DC">
            <w:pPr>
              <w:snapToGrid w:val="0"/>
              <w:spacing w:before="156" w:beforeLines="50"/>
              <w:rPr>
                <w:rFonts w:ascii="仿宋" w:hAnsi="仿宋" w:eastAsia="仿宋" w:cs="Times New Roman"/>
                <w:sz w:val="24"/>
                <w:highlight w:val="none"/>
              </w:rPr>
            </w:pPr>
          </w:p>
        </w:tc>
      </w:tr>
      <w:tr w14:paraId="769266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064F19B2">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2</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1DCB001A">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验收方案</w:t>
            </w:r>
          </w:p>
        </w:tc>
        <w:tc>
          <w:tcPr>
            <w:tcW w:w="7200" w:type="dxa"/>
            <w:tcBorders>
              <w:top w:val="single" w:color="auto" w:sz="4" w:space="0"/>
              <w:left w:val="single" w:color="auto" w:sz="4" w:space="0"/>
              <w:bottom w:val="single" w:color="auto" w:sz="4" w:space="0"/>
              <w:right w:val="single" w:color="auto" w:sz="4" w:space="0"/>
            </w:tcBorders>
            <w:noWrap w:val="0"/>
            <w:vAlign w:val="top"/>
          </w:tcPr>
          <w:p w14:paraId="2C69A4C1">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bCs/>
                <w:sz w:val="21"/>
                <w:szCs w:val="21"/>
                <w:highlight w:val="none"/>
              </w:rPr>
            </w:pPr>
            <w:r>
              <w:rPr>
                <w:rFonts w:hint="eastAsia" w:ascii="仿宋" w:hAnsi="仿宋" w:eastAsia="仿宋" w:cs="Times New Roman"/>
                <w:bCs/>
                <w:sz w:val="21"/>
                <w:szCs w:val="21"/>
                <w:highlight w:val="none"/>
                <w:lang w:val="en-US" w:eastAsia="zh-CN"/>
              </w:rPr>
              <w:t>1.</w:t>
            </w:r>
            <w:r>
              <w:rPr>
                <w:rFonts w:hint="eastAsia" w:ascii="仿宋" w:hAnsi="仿宋" w:eastAsia="仿宋" w:cs="Times New Roman"/>
                <w:bCs/>
                <w:sz w:val="21"/>
                <w:szCs w:val="21"/>
                <w:highlight w:val="none"/>
              </w:rPr>
              <w:t>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p>
          <w:p w14:paraId="6C7DFE2C">
            <w:pPr>
              <w:keepNext w:val="0"/>
              <w:keepLines w:val="0"/>
              <w:pageBreakBefore w:val="0"/>
              <w:kinsoku/>
              <w:wordWrap/>
              <w:overflowPunct/>
              <w:topLinePunct w:val="0"/>
              <w:autoSpaceDE/>
              <w:autoSpaceDN/>
              <w:bidi w:val="0"/>
              <w:adjustRightInd/>
              <w:snapToGrid w:val="0"/>
              <w:spacing w:line="240" w:lineRule="exact"/>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bCs/>
                <w:sz w:val="21"/>
                <w:szCs w:val="21"/>
                <w:highlight w:val="none"/>
                <w:lang w:val="en-US" w:eastAsia="zh-CN"/>
              </w:rPr>
              <w:t>2.到货验收时，</w:t>
            </w:r>
            <w:r>
              <w:rPr>
                <w:rFonts w:hint="eastAsia" w:ascii="仿宋" w:hAnsi="仿宋" w:eastAsia="仿宋" w:cs="Times New Roman"/>
                <w:bCs/>
                <w:sz w:val="21"/>
                <w:szCs w:val="21"/>
                <w:highlight w:val="none"/>
              </w:rPr>
              <w:t>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1DD34B69">
            <w:pPr>
              <w:snapToGrid w:val="0"/>
              <w:spacing w:before="156" w:beforeLines="50"/>
              <w:ind w:left="43"/>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21B0685C">
            <w:pPr>
              <w:snapToGrid w:val="0"/>
              <w:spacing w:before="156" w:beforeLines="50"/>
              <w:ind w:left="43"/>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270ECDE3">
            <w:pPr>
              <w:snapToGrid w:val="0"/>
              <w:spacing w:before="156" w:beforeLines="50"/>
              <w:ind w:left="43"/>
              <w:rPr>
                <w:rFonts w:ascii="仿宋" w:hAnsi="仿宋" w:eastAsia="仿宋" w:cs="Times New Roman"/>
                <w:sz w:val="24"/>
                <w:highlight w:val="none"/>
              </w:rPr>
            </w:pPr>
          </w:p>
        </w:tc>
      </w:tr>
      <w:tr w14:paraId="4A7DD5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17042317">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3</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3FAE1F2A">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质保期限</w:t>
            </w:r>
          </w:p>
        </w:tc>
        <w:tc>
          <w:tcPr>
            <w:tcW w:w="7200" w:type="dxa"/>
            <w:tcBorders>
              <w:top w:val="single" w:color="auto" w:sz="4" w:space="0"/>
              <w:left w:val="single" w:color="auto" w:sz="4" w:space="0"/>
              <w:bottom w:val="single" w:color="auto" w:sz="4" w:space="0"/>
              <w:right w:val="single" w:color="auto" w:sz="4" w:space="0"/>
            </w:tcBorders>
            <w:noWrap w:val="0"/>
            <w:vAlign w:val="center"/>
          </w:tcPr>
          <w:p w14:paraId="5C1C79AF">
            <w:pPr>
              <w:keepNext w:val="0"/>
              <w:keepLines w:val="0"/>
              <w:pageBreakBefore w:val="0"/>
              <w:widowControl w:val="0"/>
              <w:kinsoku/>
              <w:wordWrap/>
              <w:overflowPunct/>
              <w:topLinePunct w:val="0"/>
              <w:autoSpaceDE/>
              <w:autoSpaceDN/>
              <w:bidi w:val="0"/>
              <w:adjustRightInd/>
              <w:spacing w:line="240" w:lineRule="exact"/>
              <w:jc w:val="both"/>
              <w:textAlignment w:val="auto"/>
              <w:outlineLvl w:val="0"/>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rPr>
              <w:t>自交货并验收合格之日起计</w:t>
            </w:r>
            <w:r>
              <w:rPr>
                <w:rFonts w:hint="eastAsia" w:ascii="仿宋" w:hAnsi="仿宋" w:eastAsia="仿宋" w:cs="Times New Roman"/>
                <w:sz w:val="21"/>
                <w:szCs w:val="21"/>
                <w:highlight w:val="none"/>
                <w:lang w:val="en-US" w:eastAsia="zh-CN"/>
              </w:rPr>
              <w:t>叁</w:t>
            </w:r>
            <w:r>
              <w:rPr>
                <w:rFonts w:hint="eastAsia" w:ascii="仿宋" w:hAnsi="仿宋" w:eastAsia="仿宋" w:cs="Times New Roman"/>
                <w:sz w:val="21"/>
                <w:szCs w:val="21"/>
                <w:highlight w:val="none"/>
              </w:rPr>
              <w:t>年</w:t>
            </w:r>
            <w:r>
              <w:rPr>
                <w:rFonts w:hint="eastAsia" w:ascii="仿宋" w:hAnsi="仿宋" w:eastAsia="仿宋" w:cs="Times New Roman"/>
                <w:sz w:val="21"/>
                <w:szCs w:val="21"/>
                <w:highlight w:val="none"/>
                <w:lang w:eastAsia="zh-CN"/>
              </w:rPr>
              <w:t>。</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79C7692D">
            <w:pPr>
              <w:snapToGrid w:val="0"/>
              <w:spacing w:before="156" w:beforeLines="50"/>
              <w:ind w:left="43"/>
              <w:jc w:val="left"/>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6AFF15AB">
            <w:pPr>
              <w:snapToGrid w:val="0"/>
              <w:spacing w:before="156" w:beforeLines="50"/>
              <w:ind w:left="43"/>
              <w:jc w:val="left"/>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46B25582">
            <w:pPr>
              <w:snapToGrid w:val="0"/>
              <w:spacing w:before="156" w:beforeLines="50"/>
              <w:ind w:left="43"/>
              <w:jc w:val="left"/>
              <w:rPr>
                <w:rFonts w:ascii="仿宋" w:hAnsi="仿宋" w:eastAsia="仿宋" w:cs="Times New Roman"/>
                <w:sz w:val="24"/>
                <w:highlight w:val="none"/>
              </w:rPr>
            </w:pPr>
          </w:p>
        </w:tc>
      </w:tr>
      <w:tr w14:paraId="51EFF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588E2DEE">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4</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58492D63">
            <w:pPr>
              <w:keepNext w:val="0"/>
              <w:keepLines w:val="0"/>
              <w:pageBreakBefore w:val="0"/>
              <w:kinsoku/>
              <w:wordWrap/>
              <w:overflowPunct/>
              <w:topLinePunct w:val="0"/>
              <w:autoSpaceDE/>
              <w:autoSpaceDN/>
              <w:bidi w:val="0"/>
              <w:adjustRightInd/>
              <w:snapToGrid w:val="0"/>
              <w:spacing w:line="240" w:lineRule="exact"/>
              <w:jc w:val="center"/>
              <w:textAlignment w:val="auto"/>
              <w:rPr>
                <w:rFonts w:hint="default"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服务期限</w:t>
            </w:r>
          </w:p>
        </w:tc>
        <w:tc>
          <w:tcPr>
            <w:tcW w:w="7200" w:type="dxa"/>
            <w:tcBorders>
              <w:top w:val="single" w:color="auto" w:sz="4" w:space="0"/>
              <w:left w:val="single" w:color="auto" w:sz="4" w:space="0"/>
              <w:bottom w:val="single" w:color="auto" w:sz="4" w:space="0"/>
              <w:right w:val="single" w:color="auto" w:sz="4" w:space="0"/>
            </w:tcBorders>
            <w:noWrap w:val="0"/>
            <w:vAlign w:val="center"/>
          </w:tcPr>
          <w:p w14:paraId="65DB1488">
            <w:pPr>
              <w:keepNext w:val="0"/>
              <w:keepLines w:val="0"/>
              <w:pageBreakBefore w:val="0"/>
              <w:kinsoku/>
              <w:wordWrap/>
              <w:overflowPunct/>
              <w:topLinePunct w:val="0"/>
              <w:autoSpaceDE/>
              <w:autoSpaceDN/>
              <w:bidi w:val="0"/>
              <w:adjustRightInd/>
              <w:snapToGrid w:val="0"/>
              <w:spacing w:line="240" w:lineRule="exact"/>
              <w:jc w:val="both"/>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kern w:val="2"/>
                <w:sz w:val="21"/>
                <w:szCs w:val="21"/>
                <w:highlight w:val="none"/>
                <w:lang w:val="en-US" w:eastAsia="zh-CN" w:bidi="ar-SA"/>
              </w:rPr>
              <w:t>自合同签订之日起40日历天内，完成供货、安装、培训、检验合格、交付使用。</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7D88A463">
            <w:pPr>
              <w:snapToGrid w:val="0"/>
              <w:spacing w:before="156" w:beforeLines="50"/>
              <w:ind w:left="43"/>
              <w:jc w:val="left"/>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2E4EA572">
            <w:pPr>
              <w:snapToGrid w:val="0"/>
              <w:spacing w:before="156" w:beforeLines="50"/>
              <w:ind w:left="43"/>
              <w:jc w:val="left"/>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5A499728">
            <w:pPr>
              <w:snapToGrid w:val="0"/>
              <w:spacing w:before="156" w:beforeLines="50"/>
              <w:ind w:left="43"/>
              <w:jc w:val="left"/>
              <w:rPr>
                <w:rFonts w:ascii="仿宋" w:hAnsi="仿宋" w:eastAsia="仿宋" w:cs="Times New Roman"/>
                <w:sz w:val="24"/>
                <w:highlight w:val="none"/>
              </w:rPr>
            </w:pPr>
          </w:p>
        </w:tc>
      </w:tr>
      <w:tr w14:paraId="487596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651CAC59">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5</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6853269">
            <w:pPr>
              <w:keepNext w:val="0"/>
              <w:keepLines w:val="0"/>
              <w:pageBreakBefore w:val="0"/>
              <w:kinsoku/>
              <w:wordWrap/>
              <w:overflowPunct/>
              <w:topLinePunct w:val="0"/>
              <w:autoSpaceDE/>
              <w:autoSpaceDN/>
              <w:bidi w:val="0"/>
              <w:adjustRightInd/>
              <w:snapToGrid w:val="0"/>
              <w:spacing w:line="240" w:lineRule="exact"/>
              <w:jc w:val="center"/>
              <w:textAlignment w:val="auto"/>
              <w:rPr>
                <w:rFonts w:ascii="仿宋" w:hAnsi="仿宋" w:eastAsia="仿宋" w:cs="Times New Roman"/>
                <w:sz w:val="21"/>
                <w:szCs w:val="21"/>
                <w:highlight w:val="none"/>
              </w:rPr>
            </w:pPr>
            <w:r>
              <w:rPr>
                <w:rFonts w:hint="eastAsia" w:ascii="仿宋" w:hAnsi="仿宋" w:eastAsia="仿宋" w:cs="Times New Roman"/>
                <w:sz w:val="21"/>
                <w:szCs w:val="21"/>
                <w:highlight w:val="none"/>
              </w:rPr>
              <w:t>地点</w:t>
            </w:r>
          </w:p>
        </w:tc>
        <w:tc>
          <w:tcPr>
            <w:tcW w:w="7200" w:type="dxa"/>
            <w:tcBorders>
              <w:top w:val="single" w:color="auto" w:sz="4" w:space="0"/>
              <w:left w:val="single" w:color="auto" w:sz="4" w:space="0"/>
              <w:bottom w:val="single" w:color="auto" w:sz="4" w:space="0"/>
              <w:right w:val="single" w:color="auto" w:sz="4" w:space="0"/>
            </w:tcBorders>
            <w:noWrap w:val="0"/>
            <w:vAlign w:val="center"/>
          </w:tcPr>
          <w:p w14:paraId="2790A771">
            <w:pPr>
              <w:keepNext w:val="0"/>
              <w:keepLines w:val="0"/>
              <w:pageBreakBefore w:val="0"/>
              <w:kinsoku/>
              <w:wordWrap/>
              <w:overflowPunct/>
              <w:topLinePunct w:val="0"/>
              <w:autoSpaceDE/>
              <w:autoSpaceDN/>
              <w:bidi w:val="0"/>
              <w:adjustRightInd/>
              <w:snapToGrid w:val="0"/>
              <w:spacing w:line="240" w:lineRule="exact"/>
              <w:jc w:val="both"/>
              <w:textAlignment w:val="auto"/>
              <w:rPr>
                <w:rFonts w:hint="eastAsia" w:ascii="仿宋" w:hAnsi="仿宋" w:eastAsia="仿宋" w:cs="Times New Roman"/>
                <w:sz w:val="21"/>
                <w:szCs w:val="21"/>
                <w:highlight w:val="none"/>
                <w:lang w:val="en-US" w:eastAsia="zh-CN"/>
              </w:rPr>
            </w:pPr>
            <w:r>
              <w:rPr>
                <w:rFonts w:hint="eastAsia" w:ascii="仿宋" w:hAnsi="仿宋" w:eastAsia="仿宋"/>
                <w:sz w:val="21"/>
                <w:szCs w:val="21"/>
                <w:highlight w:val="none"/>
              </w:rPr>
              <w:t>根据采购人要求</w:t>
            </w:r>
            <w:r>
              <w:rPr>
                <w:rFonts w:hint="eastAsia" w:ascii="仿宋" w:hAnsi="仿宋" w:eastAsia="仿宋"/>
                <w:sz w:val="21"/>
                <w:szCs w:val="21"/>
                <w:highlight w:val="none"/>
                <w:lang w:eastAsia="zh-CN"/>
              </w:rPr>
              <w:t>。</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327DA2D9">
            <w:pPr>
              <w:snapToGrid w:val="0"/>
              <w:spacing w:before="156" w:beforeLines="50"/>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4D81DA37">
            <w:pPr>
              <w:snapToGrid w:val="0"/>
              <w:spacing w:before="156" w:beforeLines="50"/>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32E2919B">
            <w:pPr>
              <w:snapToGrid w:val="0"/>
              <w:spacing w:before="156" w:beforeLines="50"/>
              <w:rPr>
                <w:rFonts w:ascii="仿宋" w:hAnsi="仿宋" w:eastAsia="仿宋" w:cs="Times New Roman"/>
                <w:sz w:val="24"/>
                <w:highlight w:val="none"/>
              </w:rPr>
            </w:pPr>
          </w:p>
        </w:tc>
      </w:tr>
      <w:tr w14:paraId="3C71F1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4737ED59">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p>
        </w:tc>
        <w:tc>
          <w:tcPr>
            <w:tcW w:w="783" w:type="dxa"/>
            <w:tcBorders>
              <w:top w:val="single" w:color="auto" w:sz="4" w:space="0"/>
              <w:left w:val="single" w:color="auto" w:sz="4" w:space="0"/>
              <w:bottom w:val="single" w:color="auto" w:sz="4" w:space="0"/>
              <w:right w:val="single" w:color="auto" w:sz="4" w:space="0"/>
            </w:tcBorders>
            <w:noWrap w:val="0"/>
            <w:vAlign w:val="center"/>
          </w:tcPr>
          <w:p w14:paraId="0AF0EED2">
            <w:pPr>
              <w:keepNext w:val="0"/>
              <w:keepLines w:val="0"/>
              <w:pageBreakBefore w:val="0"/>
              <w:kinsoku/>
              <w:wordWrap/>
              <w:overflowPunct/>
              <w:topLinePunct w:val="0"/>
              <w:autoSpaceDE/>
              <w:autoSpaceDN/>
              <w:bidi w:val="0"/>
              <w:adjustRightInd/>
              <w:snapToGrid w:val="0"/>
              <w:spacing w:line="240" w:lineRule="exact"/>
              <w:jc w:val="center"/>
              <w:textAlignment w:val="auto"/>
              <w:rPr>
                <w:rFonts w:hint="default"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售后服务</w:t>
            </w:r>
          </w:p>
        </w:tc>
        <w:tc>
          <w:tcPr>
            <w:tcW w:w="7200" w:type="dxa"/>
            <w:tcBorders>
              <w:top w:val="single" w:color="auto" w:sz="4" w:space="0"/>
              <w:left w:val="single" w:color="auto" w:sz="4" w:space="0"/>
              <w:bottom w:val="single" w:color="auto" w:sz="4" w:space="0"/>
              <w:right w:val="single" w:color="auto" w:sz="4" w:space="0"/>
            </w:tcBorders>
            <w:noWrap w:val="0"/>
            <w:vAlign w:val="top"/>
          </w:tcPr>
          <w:p w14:paraId="2A2EE845">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bCs/>
                <w:sz w:val="21"/>
                <w:szCs w:val="21"/>
                <w:highlight w:val="none"/>
              </w:rPr>
            </w:pPr>
            <w:r>
              <w:rPr>
                <w:rFonts w:hint="eastAsia" w:ascii="仿宋" w:hAnsi="仿宋" w:eastAsia="仿宋" w:cs="Times New Roman"/>
                <w:bCs/>
                <w:sz w:val="21"/>
                <w:szCs w:val="21"/>
                <w:highlight w:val="none"/>
                <w:lang w:val="en-US" w:eastAsia="zh-CN"/>
              </w:rPr>
              <w:t>1.</w:t>
            </w:r>
            <w:r>
              <w:rPr>
                <w:rFonts w:hint="eastAsia" w:ascii="仿宋" w:hAnsi="仿宋" w:eastAsia="仿宋" w:cs="Times New Roman"/>
                <w:bCs/>
                <w:sz w:val="21"/>
                <w:szCs w:val="21"/>
                <w:highlight w:val="none"/>
              </w:rPr>
              <w:t>在免费质保期内设备发生非人为故障，成交供应商应免费上门检修维修，免费更换原厂原规格同质量的零部件。</w:t>
            </w:r>
          </w:p>
          <w:p w14:paraId="0CA937A7">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bCs/>
                <w:sz w:val="21"/>
                <w:szCs w:val="21"/>
                <w:highlight w:val="none"/>
              </w:rPr>
            </w:pPr>
            <w:r>
              <w:rPr>
                <w:rFonts w:hint="eastAsia" w:ascii="仿宋" w:hAnsi="仿宋" w:eastAsia="仿宋" w:cs="Times New Roman"/>
                <w:bCs/>
                <w:sz w:val="21"/>
                <w:szCs w:val="21"/>
                <w:highlight w:val="none"/>
                <w:lang w:val="en-US" w:eastAsia="zh-CN"/>
              </w:rPr>
              <w:t>2.</w:t>
            </w:r>
            <w:r>
              <w:rPr>
                <w:rFonts w:hint="eastAsia" w:ascii="仿宋" w:hAnsi="仿宋" w:eastAsia="仿宋" w:cs="Times New Roman"/>
                <w:bCs/>
                <w:sz w:val="21"/>
                <w:szCs w:val="21"/>
                <w:highlight w:val="none"/>
              </w:rPr>
              <w:t>在免费质保期内，成交人接需方电话后2小时内响应，4～6小时内到达现场维修，非采购人人为引起的故障一概由成交供应商负责并承担一切费用，免费保修期内因维修所延误时间顺延免费保修期。</w:t>
            </w:r>
          </w:p>
          <w:p w14:paraId="1FF2DF08">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bCs/>
                <w:sz w:val="21"/>
                <w:szCs w:val="21"/>
                <w:highlight w:val="none"/>
              </w:rPr>
            </w:pPr>
            <w:r>
              <w:rPr>
                <w:rFonts w:hint="eastAsia" w:ascii="仿宋" w:hAnsi="仿宋" w:eastAsia="仿宋" w:cs="Times New Roman"/>
                <w:bCs/>
                <w:sz w:val="21"/>
                <w:szCs w:val="21"/>
                <w:highlight w:val="none"/>
              </w:rPr>
              <w:t>质保期内如果成交供应商对于产品故障未在规定时间内进行处理，采购人有权交具有资质的第三方进行维修处理，所产生的费用在余款中扣除。</w:t>
            </w:r>
          </w:p>
          <w:p w14:paraId="47A84D4B">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bCs/>
                <w:sz w:val="21"/>
                <w:szCs w:val="21"/>
                <w:highlight w:val="none"/>
              </w:rPr>
            </w:pPr>
            <w:r>
              <w:rPr>
                <w:rFonts w:hint="eastAsia" w:ascii="仿宋" w:hAnsi="仿宋" w:eastAsia="仿宋" w:cs="Times New Roman"/>
                <w:bCs/>
                <w:sz w:val="21"/>
                <w:szCs w:val="21"/>
                <w:highlight w:val="none"/>
                <w:lang w:val="en-US" w:eastAsia="zh-CN"/>
              </w:rPr>
              <w:t>3.</w:t>
            </w:r>
            <w:r>
              <w:rPr>
                <w:rFonts w:hint="eastAsia" w:ascii="仿宋" w:hAnsi="仿宋" w:eastAsia="仿宋" w:cs="Times New Roman"/>
                <w:bCs/>
                <w:sz w:val="21"/>
                <w:szCs w:val="21"/>
                <w:highlight w:val="none"/>
              </w:rPr>
              <w:t>负责终身维修。质保期满后若设备出现故障，成交供应商应在接到用户通知后12小时内派维修人员上门修理。保修期外供货方提供有偿服务或签订维护服务合约委托供货方进行定期维护，零配件按成交价分解结算。</w:t>
            </w:r>
          </w:p>
          <w:p w14:paraId="386FEE2B">
            <w:pPr>
              <w:keepNext w:val="0"/>
              <w:keepLines w:val="0"/>
              <w:pageBreakBefore w:val="0"/>
              <w:widowControl/>
              <w:kinsoku/>
              <w:wordWrap/>
              <w:overflowPunct/>
              <w:topLinePunct w:val="0"/>
              <w:autoSpaceDE/>
              <w:autoSpaceDN/>
              <w:bidi w:val="0"/>
              <w:adjustRightInd/>
              <w:snapToGrid/>
              <w:spacing w:before="0" w:beforeLines="0" w:beforeAutospacing="0" w:after="0" w:afterAutospacing="0" w:line="240" w:lineRule="exact"/>
              <w:jc w:val="left"/>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bCs/>
                <w:sz w:val="21"/>
                <w:szCs w:val="21"/>
                <w:highlight w:val="none"/>
                <w:lang w:val="en-US" w:eastAsia="zh-CN"/>
              </w:rPr>
              <w:t>4.</w:t>
            </w:r>
            <w:r>
              <w:rPr>
                <w:rFonts w:hint="eastAsia" w:ascii="仿宋" w:hAnsi="仿宋" w:eastAsia="仿宋" w:cs="Times New Roman"/>
                <w:bCs/>
                <w:sz w:val="21"/>
                <w:szCs w:val="21"/>
                <w:highlight w:val="none"/>
              </w:rPr>
              <w:t>技术服务信息（要求提供成交供应商设有的售后服务机构名称、地址，以及专业技术人员名单和联系电话）</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67568E1B">
            <w:pPr>
              <w:snapToGrid w:val="0"/>
              <w:spacing w:before="156" w:beforeLines="50"/>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1F009BE3">
            <w:pPr>
              <w:snapToGrid w:val="0"/>
              <w:spacing w:before="156" w:beforeLines="50"/>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637AD064">
            <w:pPr>
              <w:snapToGrid w:val="0"/>
              <w:spacing w:before="156" w:beforeLines="50"/>
              <w:rPr>
                <w:rFonts w:ascii="仿宋" w:hAnsi="仿宋" w:eastAsia="仿宋" w:cs="Times New Roman"/>
                <w:sz w:val="24"/>
                <w:highlight w:val="none"/>
              </w:rPr>
            </w:pPr>
          </w:p>
        </w:tc>
      </w:tr>
      <w:tr w14:paraId="3DD0D6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024A1B7E">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6</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46F52CCF">
            <w:pPr>
              <w:keepNext w:val="0"/>
              <w:keepLines w:val="0"/>
              <w:pageBreakBefore w:val="0"/>
              <w:kinsoku/>
              <w:wordWrap/>
              <w:overflowPunct/>
              <w:topLinePunct w:val="0"/>
              <w:autoSpaceDE/>
              <w:autoSpaceDN/>
              <w:bidi w:val="0"/>
              <w:adjustRightInd/>
              <w:snapToGrid w:val="0"/>
              <w:spacing w:line="240" w:lineRule="exact"/>
              <w:jc w:val="center"/>
              <w:textAlignment w:val="auto"/>
              <w:rPr>
                <w:rFonts w:ascii="仿宋" w:hAnsi="仿宋" w:eastAsia="仿宋" w:cs="Times New Roman"/>
                <w:sz w:val="21"/>
                <w:szCs w:val="21"/>
                <w:highlight w:val="none"/>
              </w:rPr>
            </w:pPr>
            <w:r>
              <w:rPr>
                <w:rFonts w:hint="eastAsia" w:ascii="仿宋" w:hAnsi="仿宋" w:eastAsia="仿宋" w:cs="Times New Roman"/>
                <w:sz w:val="21"/>
                <w:szCs w:val="21"/>
                <w:highlight w:val="none"/>
              </w:rPr>
              <w:t>付款方式</w:t>
            </w:r>
          </w:p>
        </w:tc>
        <w:tc>
          <w:tcPr>
            <w:tcW w:w="7200" w:type="dxa"/>
            <w:tcBorders>
              <w:top w:val="single" w:color="auto" w:sz="4" w:space="0"/>
              <w:left w:val="single" w:color="auto" w:sz="4" w:space="0"/>
              <w:bottom w:val="single" w:color="auto" w:sz="4" w:space="0"/>
              <w:right w:val="single" w:color="auto" w:sz="4" w:space="0"/>
            </w:tcBorders>
            <w:noWrap w:val="0"/>
            <w:vAlign w:val="top"/>
          </w:tcPr>
          <w:p w14:paraId="1C021C46">
            <w:pPr>
              <w:keepNext w:val="0"/>
              <w:keepLines w:val="0"/>
              <w:pageBreakBefore w:val="0"/>
              <w:widowControl w:val="0"/>
              <w:kinsoku/>
              <w:wordWrap/>
              <w:overflowPunct/>
              <w:topLinePunct w:val="0"/>
              <w:autoSpaceDE/>
              <w:autoSpaceDN/>
              <w:bidi w:val="0"/>
              <w:adjustRightInd/>
              <w:spacing w:line="240" w:lineRule="exact"/>
              <w:textAlignment w:val="auto"/>
              <w:rPr>
                <w:rFonts w:ascii="仿宋" w:hAnsi="仿宋" w:eastAsia="仿宋" w:cs="Times New Roman"/>
                <w:sz w:val="21"/>
                <w:szCs w:val="21"/>
                <w:highlight w:val="none"/>
              </w:rPr>
            </w:pPr>
            <w:r>
              <w:rPr>
                <w:rFonts w:hint="eastAsia" w:ascii="仿宋" w:hAnsi="仿宋" w:eastAsia="仿宋" w:cs="Times New Roman"/>
                <w:sz w:val="21"/>
                <w:szCs w:val="21"/>
                <w:highlight w:val="none"/>
                <w:lang w:val="en-US" w:eastAsia="zh-CN"/>
              </w:rPr>
              <w:t>1.</w:t>
            </w:r>
            <w:r>
              <w:rPr>
                <w:rFonts w:hint="eastAsia" w:ascii="仿宋" w:hAnsi="仿宋" w:eastAsia="仿宋" w:cs="Times New Roman"/>
                <w:sz w:val="21"/>
                <w:szCs w:val="21"/>
                <w:highlight w:val="none"/>
              </w:rPr>
              <w:t xml:space="preserve">成交供应商应按照与采购人签订的合同规定交货。交货后成交供应商向采购人提供下列单据，按合同规定审核后付款：1、发票； </w:t>
            </w:r>
            <w:r>
              <w:rPr>
                <w:rFonts w:hint="eastAsia" w:ascii="仿宋" w:hAnsi="仿宋" w:eastAsia="仿宋" w:cs="Times New Roman"/>
                <w:sz w:val="21"/>
                <w:szCs w:val="21"/>
                <w:highlight w:val="none"/>
                <w:lang w:val="en-US" w:eastAsia="zh-CN"/>
              </w:rPr>
              <w:t>2</w:t>
            </w:r>
            <w:r>
              <w:rPr>
                <w:rFonts w:hint="eastAsia" w:ascii="仿宋" w:hAnsi="仿宋" w:eastAsia="仿宋" w:cs="Times New Roman"/>
                <w:sz w:val="21"/>
                <w:szCs w:val="21"/>
                <w:highlight w:val="none"/>
              </w:rPr>
              <w:t>、验收合格证书等。</w:t>
            </w:r>
          </w:p>
          <w:p w14:paraId="387D7CB2">
            <w:pPr>
              <w:keepNext w:val="0"/>
              <w:keepLines w:val="0"/>
              <w:pageBreakBefore w:val="0"/>
              <w:widowControl/>
              <w:kinsoku/>
              <w:wordWrap/>
              <w:overflowPunct/>
              <w:topLinePunct w:val="0"/>
              <w:autoSpaceDE/>
              <w:autoSpaceDN/>
              <w:bidi w:val="0"/>
              <w:adjustRightInd/>
              <w:snapToGrid/>
              <w:spacing w:before="0" w:beforeLines="0" w:beforeAutospacing="0" w:after="0" w:afterAutospacing="0" w:line="240" w:lineRule="exact"/>
              <w:jc w:val="left"/>
              <w:textAlignment w:val="auto"/>
              <w:rPr>
                <w:rFonts w:hint="eastAsia" w:ascii="仿宋" w:hAnsi="仿宋" w:eastAsia="仿宋" w:cs="Times New Roman"/>
                <w:kern w:val="0"/>
                <w:sz w:val="21"/>
                <w:szCs w:val="21"/>
                <w:highlight w:val="none"/>
                <w:lang w:val="en-US" w:eastAsia="zh-CN" w:bidi="ar-SA"/>
              </w:rPr>
            </w:pPr>
            <w:r>
              <w:rPr>
                <w:rFonts w:hint="eastAsia" w:ascii="仿宋" w:hAnsi="仿宋" w:eastAsia="仿宋" w:cs="Times New Roman"/>
                <w:sz w:val="21"/>
                <w:szCs w:val="21"/>
                <w:highlight w:val="none"/>
                <w:lang w:val="en-US" w:eastAsia="zh-CN"/>
              </w:rPr>
              <w:t>2.设备</w:t>
            </w:r>
            <w:r>
              <w:rPr>
                <w:rFonts w:hint="eastAsia" w:ascii="仿宋" w:hAnsi="仿宋" w:eastAsia="仿宋" w:cs="Times New Roman"/>
                <w:color w:val="000000"/>
                <w:sz w:val="21"/>
                <w:szCs w:val="21"/>
                <w:highlight w:val="none"/>
                <w:lang w:val="zh-CN" w:eastAsia="zh-CN"/>
              </w:rPr>
              <w:t>安装调试完毕并验收合格后付至合同价款总额的</w:t>
            </w:r>
            <w:r>
              <w:rPr>
                <w:rFonts w:hint="eastAsia" w:ascii="仿宋" w:hAnsi="仿宋" w:eastAsia="仿宋" w:cs="Times New Roman"/>
                <w:color w:val="000000"/>
                <w:sz w:val="21"/>
                <w:szCs w:val="21"/>
                <w:highlight w:val="none"/>
                <w:lang w:val="en-US" w:eastAsia="zh-CN"/>
              </w:rPr>
              <w:t>90</w:t>
            </w:r>
            <w:r>
              <w:rPr>
                <w:rFonts w:hint="eastAsia" w:ascii="仿宋" w:hAnsi="仿宋" w:eastAsia="仿宋" w:cs="Times New Roman"/>
                <w:color w:val="000000"/>
                <w:sz w:val="21"/>
                <w:szCs w:val="21"/>
                <w:highlight w:val="none"/>
                <w:lang w:val="zh-CN" w:eastAsia="zh-CN"/>
              </w:rPr>
              <w:t>%，</w:t>
            </w:r>
            <w:r>
              <w:rPr>
                <w:rFonts w:hint="eastAsia" w:ascii="仿宋" w:hAnsi="仿宋" w:eastAsia="仿宋" w:cs="Times New Roman"/>
                <w:color w:val="000000"/>
                <w:sz w:val="21"/>
                <w:szCs w:val="21"/>
                <w:highlight w:val="none"/>
                <w:lang w:val="en-US" w:eastAsia="zh-CN"/>
              </w:rPr>
              <w:t>余款质保期满后一次性付清</w:t>
            </w:r>
            <w:r>
              <w:rPr>
                <w:rFonts w:hint="eastAsia" w:ascii="仿宋" w:hAnsi="仿宋" w:eastAsia="仿宋" w:cs="Times New Roman"/>
                <w:color w:val="000000"/>
                <w:sz w:val="21"/>
                <w:szCs w:val="21"/>
                <w:highlight w:val="none"/>
                <w:lang w:val="zh-CN" w:eastAsia="zh-CN"/>
              </w:rPr>
              <w:t>。如有质量问题，采购</w:t>
            </w:r>
            <w:r>
              <w:rPr>
                <w:rFonts w:hint="eastAsia" w:ascii="仿宋" w:hAnsi="仿宋" w:eastAsia="仿宋" w:cs="Times New Roman"/>
                <w:color w:val="000000"/>
                <w:sz w:val="21"/>
                <w:szCs w:val="21"/>
                <w:highlight w:val="none"/>
                <w:lang w:val="en-US" w:eastAsia="zh-CN"/>
              </w:rPr>
              <w:t>人</w:t>
            </w:r>
            <w:r>
              <w:rPr>
                <w:rFonts w:hint="eastAsia" w:ascii="仿宋" w:hAnsi="仿宋" w:eastAsia="仿宋" w:cs="Times New Roman"/>
                <w:color w:val="000000"/>
                <w:sz w:val="21"/>
                <w:szCs w:val="21"/>
                <w:highlight w:val="none"/>
                <w:lang w:val="zh-CN" w:eastAsia="zh-CN"/>
              </w:rPr>
              <w:t>有权顺延付款时间至</w:t>
            </w:r>
            <w:r>
              <w:rPr>
                <w:rFonts w:hint="eastAsia" w:ascii="仿宋" w:hAnsi="仿宋" w:eastAsia="仿宋" w:cs="Times New Roman"/>
                <w:color w:val="000000"/>
                <w:sz w:val="21"/>
                <w:szCs w:val="21"/>
                <w:highlight w:val="none"/>
                <w:lang w:val="en-US" w:eastAsia="zh-CN"/>
              </w:rPr>
              <w:t>成交供应商</w:t>
            </w:r>
            <w:r>
              <w:rPr>
                <w:rFonts w:hint="eastAsia" w:ascii="仿宋" w:hAnsi="仿宋" w:eastAsia="仿宋" w:cs="Times New Roman"/>
                <w:color w:val="000000"/>
                <w:sz w:val="21"/>
                <w:szCs w:val="21"/>
                <w:highlight w:val="none"/>
                <w:lang w:val="zh-CN" w:eastAsia="zh-CN"/>
              </w:rPr>
              <w:t>解决质量问题之日。每次支付前，成交人均应出具符合采购人财务规定以及开票报税要求的相应金额的正式发票。</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2FED57AE">
            <w:pPr>
              <w:snapToGrid w:val="0"/>
              <w:spacing w:before="156" w:beforeLines="50"/>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66E68932">
            <w:pPr>
              <w:snapToGrid w:val="0"/>
              <w:spacing w:before="156" w:beforeLines="50"/>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4F508F99">
            <w:pPr>
              <w:snapToGrid w:val="0"/>
              <w:spacing w:before="156" w:beforeLines="50"/>
              <w:rPr>
                <w:rFonts w:ascii="仿宋" w:hAnsi="仿宋" w:eastAsia="仿宋" w:cs="Times New Roman"/>
                <w:sz w:val="24"/>
                <w:highlight w:val="none"/>
              </w:rPr>
            </w:pPr>
          </w:p>
        </w:tc>
      </w:tr>
      <w:tr w14:paraId="78D130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46" w:type="dxa"/>
            <w:tcBorders>
              <w:top w:val="single" w:color="auto" w:sz="4" w:space="0"/>
              <w:left w:val="single" w:color="auto" w:sz="4" w:space="0"/>
              <w:bottom w:val="single" w:color="auto" w:sz="4" w:space="0"/>
              <w:right w:val="single" w:color="auto" w:sz="4" w:space="0"/>
            </w:tcBorders>
            <w:noWrap w:val="0"/>
            <w:vAlign w:val="center"/>
          </w:tcPr>
          <w:p w14:paraId="65169548">
            <w:pPr>
              <w:keepNext w:val="0"/>
              <w:keepLines w:val="0"/>
              <w:pageBreakBefore w:val="0"/>
              <w:kinsoku/>
              <w:wordWrap/>
              <w:overflowPunct/>
              <w:topLinePunct w:val="0"/>
              <w:autoSpaceDE/>
              <w:autoSpaceDN/>
              <w:bidi w:val="0"/>
              <w:adjustRightInd/>
              <w:snapToGrid w:val="0"/>
              <w:spacing w:line="240" w:lineRule="exact"/>
              <w:jc w:val="center"/>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7</w:t>
            </w:r>
          </w:p>
        </w:tc>
        <w:tc>
          <w:tcPr>
            <w:tcW w:w="783" w:type="dxa"/>
            <w:tcBorders>
              <w:top w:val="single" w:color="auto" w:sz="4" w:space="0"/>
              <w:left w:val="single" w:color="auto" w:sz="4" w:space="0"/>
              <w:bottom w:val="single" w:color="auto" w:sz="4" w:space="0"/>
              <w:right w:val="single" w:color="auto" w:sz="4" w:space="0"/>
            </w:tcBorders>
            <w:noWrap w:val="0"/>
            <w:vAlign w:val="center"/>
          </w:tcPr>
          <w:p w14:paraId="6E5AF62F">
            <w:pPr>
              <w:keepNext w:val="0"/>
              <w:keepLines w:val="0"/>
              <w:pageBreakBefore w:val="0"/>
              <w:kinsoku/>
              <w:wordWrap/>
              <w:overflowPunct/>
              <w:topLinePunct w:val="0"/>
              <w:autoSpaceDE/>
              <w:autoSpaceDN/>
              <w:bidi w:val="0"/>
              <w:adjustRightInd/>
              <w:snapToGrid w:val="0"/>
              <w:spacing w:line="240" w:lineRule="exact"/>
              <w:jc w:val="center"/>
              <w:textAlignment w:val="auto"/>
              <w:rPr>
                <w:rFonts w:ascii="仿宋" w:hAnsi="仿宋" w:eastAsia="仿宋" w:cs="Times New Roman"/>
                <w:sz w:val="21"/>
                <w:szCs w:val="21"/>
                <w:highlight w:val="none"/>
              </w:rPr>
            </w:pPr>
            <w:r>
              <w:rPr>
                <w:rFonts w:hint="eastAsia" w:ascii="仿宋" w:hAnsi="仿宋" w:eastAsia="仿宋" w:cs="Times New Roman"/>
                <w:sz w:val="21"/>
                <w:szCs w:val="21"/>
                <w:highlight w:val="none"/>
                <w:lang w:eastAsia="zh-CN"/>
              </w:rPr>
              <w:t>响应</w:t>
            </w:r>
            <w:r>
              <w:rPr>
                <w:rFonts w:hint="eastAsia" w:ascii="仿宋" w:hAnsi="仿宋" w:eastAsia="仿宋" w:cs="Times New Roman"/>
                <w:sz w:val="21"/>
                <w:szCs w:val="21"/>
                <w:highlight w:val="none"/>
              </w:rPr>
              <w:t>货币</w:t>
            </w:r>
          </w:p>
        </w:tc>
        <w:tc>
          <w:tcPr>
            <w:tcW w:w="7200" w:type="dxa"/>
            <w:tcBorders>
              <w:top w:val="single" w:color="auto" w:sz="4" w:space="0"/>
              <w:left w:val="single" w:color="auto" w:sz="4" w:space="0"/>
              <w:bottom w:val="single" w:color="auto" w:sz="4" w:space="0"/>
              <w:right w:val="single" w:color="auto" w:sz="4" w:space="0"/>
            </w:tcBorders>
            <w:noWrap w:val="0"/>
            <w:vAlign w:val="center"/>
          </w:tcPr>
          <w:p w14:paraId="7C08FBB5">
            <w:pPr>
              <w:keepNext w:val="0"/>
              <w:keepLines w:val="0"/>
              <w:pageBreakBefore w:val="0"/>
              <w:kinsoku/>
              <w:wordWrap/>
              <w:overflowPunct/>
              <w:topLinePunct w:val="0"/>
              <w:autoSpaceDE/>
              <w:autoSpaceDN/>
              <w:bidi w:val="0"/>
              <w:adjustRightInd/>
              <w:snapToGrid w:val="0"/>
              <w:spacing w:line="240" w:lineRule="exact"/>
              <w:jc w:val="both"/>
              <w:textAlignment w:val="auto"/>
              <w:rPr>
                <w:rFonts w:hint="eastAsia" w:ascii="仿宋" w:hAnsi="仿宋" w:eastAsia="仿宋" w:cs="Times New Roman"/>
                <w:sz w:val="21"/>
                <w:szCs w:val="21"/>
                <w:highlight w:val="none"/>
                <w:lang w:val="en-US" w:eastAsia="zh-CN"/>
              </w:rPr>
            </w:pPr>
            <w:r>
              <w:rPr>
                <w:rFonts w:hint="eastAsia" w:ascii="仿宋" w:hAnsi="仿宋" w:eastAsia="仿宋" w:cs="Times New Roman"/>
                <w:sz w:val="21"/>
                <w:szCs w:val="21"/>
                <w:highlight w:val="none"/>
                <w:lang w:val="en-US" w:eastAsia="zh-CN"/>
              </w:rPr>
              <w:t>人民币</w:t>
            </w:r>
          </w:p>
        </w:tc>
        <w:tc>
          <w:tcPr>
            <w:tcW w:w="1061" w:type="dxa"/>
            <w:tcBorders>
              <w:top w:val="single" w:color="auto" w:sz="4" w:space="0"/>
              <w:left w:val="single" w:color="auto" w:sz="4" w:space="0"/>
              <w:bottom w:val="single" w:color="auto" w:sz="4" w:space="0"/>
              <w:right w:val="single" w:color="auto" w:sz="4" w:space="0"/>
            </w:tcBorders>
            <w:noWrap w:val="0"/>
            <w:vAlign w:val="top"/>
          </w:tcPr>
          <w:p w14:paraId="2F47CFB4">
            <w:pPr>
              <w:snapToGrid w:val="0"/>
              <w:spacing w:before="156" w:beforeLines="50"/>
              <w:rPr>
                <w:rFonts w:ascii="仿宋" w:hAnsi="仿宋" w:eastAsia="仿宋" w:cs="Times New Roman"/>
                <w:sz w:val="24"/>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14:paraId="4DB2E388">
            <w:pPr>
              <w:snapToGrid w:val="0"/>
              <w:spacing w:before="156" w:beforeLines="50"/>
              <w:rPr>
                <w:rFonts w:ascii="仿宋" w:hAnsi="仿宋" w:eastAsia="仿宋" w:cs="Times New Roman"/>
                <w:sz w:val="24"/>
                <w:highlight w:val="none"/>
              </w:rPr>
            </w:pPr>
          </w:p>
        </w:tc>
        <w:tc>
          <w:tcPr>
            <w:tcW w:w="547" w:type="dxa"/>
            <w:tcBorders>
              <w:top w:val="single" w:color="auto" w:sz="4" w:space="0"/>
              <w:left w:val="single" w:color="auto" w:sz="4" w:space="0"/>
              <w:bottom w:val="single" w:color="auto" w:sz="4" w:space="0"/>
              <w:right w:val="single" w:color="auto" w:sz="4" w:space="0"/>
            </w:tcBorders>
            <w:noWrap w:val="0"/>
            <w:vAlign w:val="top"/>
          </w:tcPr>
          <w:p w14:paraId="42081B04">
            <w:pPr>
              <w:snapToGrid w:val="0"/>
              <w:spacing w:before="156" w:beforeLines="50"/>
              <w:rPr>
                <w:rFonts w:ascii="仿宋" w:hAnsi="仿宋" w:eastAsia="仿宋" w:cs="Times New Roman"/>
                <w:sz w:val="24"/>
                <w:highlight w:val="none"/>
              </w:rPr>
            </w:pPr>
          </w:p>
        </w:tc>
      </w:tr>
    </w:tbl>
    <w:p w14:paraId="4E0A6F59">
      <w:pPr>
        <w:rPr>
          <w:rFonts w:ascii="仿宋" w:hAnsi="仿宋" w:eastAsia="仿宋"/>
          <w:sz w:val="24"/>
          <w:highlight w:val="none"/>
        </w:rPr>
      </w:pPr>
      <w:r>
        <w:rPr>
          <w:rFonts w:hint="eastAsia" w:ascii="仿宋" w:hAnsi="仿宋" w:eastAsia="仿宋" w:cs="Times New Roman"/>
          <w:color w:val="000000"/>
          <w:szCs w:val="21"/>
          <w:highlight w:val="none"/>
        </w:rPr>
        <w:t>注：按照竞争性谈判文件要求详细填列，可增减行。</w:t>
      </w:r>
    </w:p>
    <w:p w14:paraId="08A487C3">
      <w:pPr>
        <w:ind w:firstLine="560" w:firstLineChars="200"/>
        <w:rPr>
          <w:rFonts w:ascii="仿宋" w:hAnsi="仿宋" w:eastAsia="仿宋"/>
          <w:sz w:val="28"/>
          <w:szCs w:val="28"/>
          <w:highlight w:val="none"/>
        </w:rPr>
      </w:pP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rPr>
        <w:t>）竞争性谈判文件规定提交的其他材料</w:t>
      </w:r>
    </w:p>
    <w:p w14:paraId="5D5FB4C3">
      <w:pPr>
        <w:spacing w:line="500" w:lineRule="exact"/>
        <w:ind w:firstLine="560" w:firstLineChars="200"/>
        <w:rPr>
          <w:rFonts w:ascii="仿宋" w:hAnsi="仿宋" w:eastAsia="仿宋"/>
          <w:sz w:val="28"/>
          <w:szCs w:val="28"/>
          <w:highlight w:val="none"/>
        </w:rPr>
      </w:pPr>
    </w:p>
    <w:p w14:paraId="1B0422F6">
      <w:pPr>
        <w:spacing w:line="500" w:lineRule="exact"/>
        <w:ind w:firstLine="560" w:firstLineChars="200"/>
        <w:rPr>
          <w:rFonts w:ascii="黑体" w:hAnsi="黑体" w:eastAsia="黑体"/>
          <w:bCs/>
          <w:sz w:val="28"/>
          <w:szCs w:val="28"/>
          <w:highlight w:val="none"/>
        </w:rPr>
      </w:pPr>
      <w:r>
        <w:rPr>
          <w:rFonts w:ascii="黑体" w:hAnsi="黑体" w:eastAsia="黑体"/>
          <w:sz w:val="28"/>
          <w:szCs w:val="28"/>
          <w:highlight w:val="none"/>
        </w:rPr>
        <w:br w:type="page"/>
      </w:r>
      <w:r>
        <w:rPr>
          <w:rFonts w:hint="eastAsia" w:ascii="黑体" w:hAnsi="黑体" w:eastAsia="黑体"/>
          <w:sz w:val="28"/>
          <w:szCs w:val="28"/>
          <w:highlight w:val="none"/>
        </w:rPr>
        <w:t>三、</w:t>
      </w:r>
      <w:r>
        <w:rPr>
          <w:rFonts w:hint="eastAsia" w:ascii="黑体" w:hAnsi="黑体" w:eastAsia="黑体"/>
          <w:bCs/>
          <w:sz w:val="28"/>
          <w:szCs w:val="28"/>
          <w:highlight w:val="none"/>
        </w:rPr>
        <w:t>报价文件</w:t>
      </w:r>
    </w:p>
    <w:p w14:paraId="02F7BD20">
      <w:pPr>
        <w:spacing w:line="500" w:lineRule="exact"/>
        <w:ind w:firstLine="560" w:firstLineChars="200"/>
        <w:rPr>
          <w:rFonts w:ascii="仿宋" w:hAnsi="仿宋" w:eastAsia="仿宋"/>
          <w:bCs/>
          <w:sz w:val="28"/>
          <w:szCs w:val="28"/>
          <w:highlight w:val="none"/>
        </w:rPr>
      </w:pPr>
      <w:r>
        <w:rPr>
          <w:rFonts w:hint="eastAsia" w:ascii="仿宋" w:hAnsi="仿宋" w:eastAsia="仿宋"/>
          <w:bCs/>
          <w:sz w:val="28"/>
          <w:szCs w:val="28"/>
          <w:highlight w:val="none"/>
        </w:rPr>
        <w:t>（一）竞争性谈判响应报价表</w:t>
      </w:r>
    </w:p>
    <w:p w14:paraId="21E418BC">
      <w:pPr>
        <w:spacing w:line="560" w:lineRule="exact"/>
        <w:ind w:firstLine="3040" w:firstLineChars="95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竞争性谈判响应报价表</w:t>
      </w:r>
    </w:p>
    <w:tbl>
      <w:tblPr>
        <w:tblStyle w:val="19"/>
        <w:tblW w:w="8807" w:type="dxa"/>
        <w:tblInd w:w="95" w:type="dxa"/>
        <w:tblLayout w:type="fixed"/>
        <w:tblCellMar>
          <w:top w:w="0" w:type="dxa"/>
          <w:left w:w="108" w:type="dxa"/>
          <w:bottom w:w="0" w:type="dxa"/>
          <w:right w:w="108" w:type="dxa"/>
        </w:tblCellMar>
      </w:tblPr>
      <w:tblGrid>
        <w:gridCol w:w="794"/>
        <w:gridCol w:w="3293"/>
        <w:gridCol w:w="4720"/>
      </w:tblGrid>
      <w:tr w14:paraId="1A6985B6">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4CEE7AED">
            <w:pPr>
              <w:widowControl/>
              <w:ind w:firstLine="480"/>
              <w:jc w:val="left"/>
              <w:rPr>
                <w:rFonts w:ascii="仿宋" w:hAnsi="仿宋" w:eastAsia="仿宋" w:cs="宋体"/>
                <w:kern w:val="0"/>
                <w:sz w:val="24"/>
              </w:rPr>
            </w:pPr>
            <w:r>
              <w:rPr>
                <w:rFonts w:hint="eastAsia" w:ascii="仿宋" w:hAnsi="仿宋" w:eastAsia="仿宋" w:cs="宋体"/>
                <w:kern w:val="0"/>
                <w:sz w:val="24"/>
              </w:rPr>
              <w:t>供应商名称（加盖公章）：</w:t>
            </w:r>
          </w:p>
        </w:tc>
      </w:tr>
      <w:tr w14:paraId="529A5D30">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071E744">
            <w:pPr>
              <w:widowControl/>
              <w:ind w:firstLine="480"/>
              <w:jc w:val="left"/>
              <w:rPr>
                <w:rFonts w:ascii="仿宋" w:hAnsi="仿宋" w:eastAsia="仿宋" w:cs="宋体"/>
                <w:kern w:val="0"/>
                <w:sz w:val="24"/>
              </w:rPr>
            </w:pPr>
            <w:r>
              <w:rPr>
                <w:rFonts w:hint="eastAsia" w:ascii="仿宋" w:hAnsi="仿宋" w:eastAsia="仿宋" w:cs="宋体"/>
                <w:kern w:val="0"/>
                <w:sz w:val="24"/>
              </w:rPr>
              <w:t>项目名称：</w:t>
            </w:r>
          </w:p>
        </w:tc>
      </w:tr>
      <w:tr w14:paraId="3C4DD8EC">
        <w:tblPrEx>
          <w:tblCellMar>
            <w:top w:w="0" w:type="dxa"/>
            <w:left w:w="108" w:type="dxa"/>
            <w:bottom w:w="0" w:type="dxa"/>
            <w:right w:w="108" w:type="dxa"/>
          </w:tblCellMar>
        </w:tblPrEx>
        <w:trPr>
          <w:trHeight w:val="525" w:hRule="atLeast"/>
        </w:trPr>
        <w:tc>
          <w:tcPr>
            <w:tcW w:w="4087" w:type="dxa"/>
            <w:gridSpan w:val="2"/>
            <w:vMerge w:val="restart"/>
            <w:tcBorders>
              <w:top w:val="single" w:color="auto" w:sz="4" w:space="0"/>
              <w:left w:val="single" w:color="auto" w:sz="4" w:space="0"/>
              <w:bottom w:val="single" w:color="auto" w:sz="4" w:space="0"/>
              <w:right w:val="single" w:color="auto" w:sz="4" w:space="0"/>
            </w:tcBorders>
            <w:noWrap/>
            <w:vAlign w:val="center"/>
          </w:tcPr>
          <w:p w14:paraId="30162278">
            <w:pPr>
              <w:widowControl/>
              <w:ind w:firstLine="480"/>
              <w:jc w:val="center"/>
              <w:rPr>
                <w:rFonts w:ascii="仿宋" w:hAnsi="仿宋" w:eastAsia="仿宋" w:cs="宋体"/>
                <w:kern w:val="0"/>
                <w:sz w:val="24"/>
              </w:rPr>
            </w:pPr>
            <w:r>
              <w:rPr>
                <w:rFonts w:hint="eastAsia" w:ascii="仿宋" w:hAnsi="仿宋" w:eastAsia="仿宋" w:cs="宋体"/>
                <w:kern w:val="0"/>
                <w:sz w:val="24"/>
                <w:lang w:val="en-US" w:eastAsia="zh-CN"/>
              </w:rPr>
              <w:t>竞争性</w:t>
            </w:r>
            <w:r>
              <w:rPr>
                <w:rFonts w:hint="eastAsia" w:ascii="仿宋" w:hAnsi="仿宋" w:eastAsia="仿宋" w:cs="宋体"/>
                <w:kern w:val="0"/>
                <w:sz w:val="24"/>
              </w:rPr>
              <w:t>磋商响应报价</w:t>
            </w:r>
          </w:p>
        </w:tc>
        <w:tc>
          <w:tcPr>
            <w:tcW w:w="4720" w:type="dxa"/>
            <w:tcBorders>
              <w:top w:val="single" w:color="auto" w:sz="4" w:space="0"/>
              <w:left w:val="nil"/>
              <w:bottom w:val="single" w:color="auto" w:sz="4" w:space="0"/>
              <w:right w:val="single" w:color="auto" w:sz="4" w:space="0"/>
            </w:tcBorders>
            <w:noWrap/>
            <w:vAlign w:val="center"/>
          </w:tcPr>
          <w:p w14:paraId="1C94C99D">
            <w:pPr>
              <w:widowControl/>
              <w:jc w:val="left"/>
              <w:rPr>
                <w:rFonts w:ascii="仿宋" w:hAnsi="仿宋" w:eastAsia="仿宋" w:cs="宋体"/>
                <w:kern w:val="0"/>
                <w:sz w:val="24"/>
              </w:rPr>
            </w:pPr>
            <w:r>
              <w:rPr>
                <w:rFonts w:hint="eastAsia" w:ascii="仿宋" w:hAnsi="仿宋" w:eastAsia="仿宋" w:cs="宋体"/>
                <w:kern w:val="0"/>
                <w:sz w:val="24"/>
              </w:rPr>
              <w:t>小写：</w:t>
            </w:r>
          </w:p>
        </w:tc>
      </w:tr>
      <w:tr w14:paraId="2EB7B5A0">
        <w:tblPrEx>
          <w:tblCellMar>
            <w:top w:w="0" w:type="dxa"/>
            <w:left w:w="108" w:type="dxa"/>
            <w:bottom w:w="0" w:type="dxa"/>
            <w:right w:w="108" w:type="dxa"/>
          </w:tblCellMar>
        </w:tblPrEx>
        <w:trPr>
          <w:trHeight w:val="525" w:hRule="atLeast"/>
        </w:trPr>
        <w:tc>
          <w:tcPr>
            <w:tcW w:w="4087" w:type="dxa"/>
            <w:gridSpan w:val="2"/>
            <w:vMerge w:val="continue"/>
            <w:tcBorders>
              <w:top w:val="single" w:color="auto" w:sz="4" w:space="0"/>
              <w:left w:val="single" w:color="auto" w:sz="4" w:space="0"/>
              <w:bottom w:val="single" w:color="auto" w:sz="4" w:space="0"/>
              <w:right w:val="single" w:color="auto" w:sz="4" w:space="0"/>
            </w:tcBorders>
            <w:vAlign w:val="center"/>
          </w:tcPr>
          <w:p w14:paraId="50144F79">
            <w:pPr>
              <w:widowControl/>
              <w:ind w:firstLine="480"/>
              <w:jc w:val="left"/>
              <w:rPr>
                <w:rFonts w:ascii="仿宋" w:hAnsi="仿宋" w:eastAsia="仿宋" w:cs="宋体"/>
                <w:kern w:val="0"/>
                <w:sz w:val="24"/>
              </w:rPr>
            </w:pPr>
          </w:p>
        </w:tc>
        <w:tc>
          <w:tcPr>
            <w:tcW w:w="4720" w:type="dxa"/>
            <w:tcBorders>
              <w:top w:val="single" w:color="auto" w:sz="4" w:space="0"/>
              <w:left w:val="nil"/>
              <w:bottom w:val="single" w:color="auto" w:sz="4" w:space="0"/>
              <w:right w:val="single" w:color="auto" w:sz="4" w:space="0"/>
            </w:tcBorders>
            <w:noWrap/>
            <w:vAlign w:val="center"/>
          </w:tcPr>
          <w:p w14:paraId="3E0CDC2E">
            <w:pPr>
              <w:widowControl/>
              <w:jc w:val="left"/>
              <w:rPr>
                <w:rFonts w:ascii="仿宋" w:hAnsi="仿宋" w:eastAsia="仿宋" w:cs="宋体"/>
                <w:kern w:val="0"/>
                <w:sz w:val="24"/>
              </w:rPr>
            </w:pPr>
            <w:r>
              <w:rPr>
                <w:rFonts w:hint="eastAsia" w:ascii="仿宋" w:hAnsi="仿宋" w:eastAsia="仿宋" w:cs="宋体"/>
                <w:kern w:val="0"/>
                <w:sz w:val="24"/>
              </w:rPr>
              <w:t>大写：</w:t>
            </w:r>
          </w:p>
        </w:tc>
      </w:tr>
      <w:tr w14:paraId="36AC3287">
        <w:tblPrEx>
          <w:tblCellMar>
            <w:top w:w="0" w:type="dxa"/>
            <w:left w:w="108" w:type="dxa"/>
            <w:bottom w:w="0" w:type="dxa"/>
            <w:right w:w="108" w:type="dxa"/>
          </w:tblCellMar>
        </w:tblPrEx>
        <w:trPr>
          <w:trHeight w:val="764" w:hRule="atLeast"/>
        </w:trPr>
        <w:tc>
          <w:tcPr>
            <w:tcW w:w="794" w:type="dxa"/>
            <w:vMerge w:val="restart"/>
            <w:tcBorders>
              <w:top w:val="nil"/>
              <w:left w:val="single" w:color="auto" w:sz="4" w:space="0"/>
              <w:right w:val="single" w:color="auto" w:sz="4" w:space="0"/>
            </w:tcBorders>
            <w:noWrap/>
            <w:textDirection w:val="tbRlV"/>
            <w:vAlign w:val="center"/>
          </w:tcPr>
          <w:p w14:paraId="29F9254F">
            <w:pPr>
              <w:widowControl/>
              <w:ind w:firstLine="480"/>
              <w:jc w:val="center"/>
              <w:rPr>
                <w:rFonts w:ascii="仿宋" w:hAnsi="仿宋" w:eastAsia="仿宋" w:cs="宋体"/>
                <w:kern w:val="0"/>
                <w:sz w:val="24"/>
              </w:rPr>
            </w:pPr>
            <w:r>
              <w:rPr>
                <w:rFonts w:hint="eastAsia" w:ascii="仿宋" w:hAnsi="仿宋" w:eastAsia="仿宋" w:cs="宋体"/>
                <w:kern w:val="0"/>
                <w:sz w:val="24"/>
                <w:highlight w:val="lightGray"/>
              </w:rPr>
              <w:t>落实政府采购政策评审价格</w:t>
            </w:r>
          </w:p>
        </w:tc>
        <w:tc>
          <w:tcPr>
            <w:tcW w:w="3293" w:type="dxa"/>
            <w:vMerge w:val="restart"/>
            <w:tcBorders>
              <w:top w:val="nil"/>
              <w:left w:val="single" w:color="auto" w:sz="4" w:space="0"/>
              <w:bottom w:val="single" w:color="auto" w:sz="4" w:space="0"/>
              <w:right w:val="single" w:color="auto" w:sz="4" w:space="0"/>
            </w:tcBorders>
            <w:vAlign w:val="center"/>
          </w:tcPr>
          <w:p w14:paraId="0C331178">
            <w:pPr>
              <w:widowControl/>
              <w:ind w:firstLine="480"/>
              <w:jc w:val="center"/>
              <w:rPr>
                <w:rFonts w:ascii="仿宋" w:hAnsi="仿宋" w:eastAsia="仿宋" w:cs="宋体"/>
                <w:kern w:val="0"/>
                <w:sz w:val="24"/>
                <w:highlight w:val="none"/>
              </w:rPr>
            </w:pPr>
            <w:r>
              <w:rPr>
                <w:rFonts w:hint="eastAsia" w:ascii="仿宋" w:hAnsi="仿宋" w:eastAsia="仿宋" w:cs="宋体"/>
                <w:kern w:val="0"/>
                <w:sz w:val="24"/>
                <w:highlight w:val="none"/>
              </w:rPr>
              <w:t>小微企业、残疾人福利单位或者监狱和戒毒企业制造的产品或者承接的服务，报价折扣</w:t>
            </w:r>
            <w:r>
              <w:rPr>
                <w:rFonts w:hint="eastAsia" w:ascii="仿宋" w:hAnsi="仿宋" w:eastAsia="仿宋" w:cs="宋体"/>
                <w:kern w:val="0"/>
                <w:sz w:val="24"/>
                <w:highlight w:val="none"/>
                <w:u w:val="single"/>
              </w:rPr>
              <w:t>1</w:t>
            </w:r>
            <w:r>
              <w:rPr>
                <w:rFonts w:hint="eastAsia" w:ascii="仿宋" w:hAnsi="仿宋" w:eastAsia="仿宋" w:cs="宋体"/>
                <w:kern w:val="0"/>
                <w:sz w:val="24"/>
                <w:highlight w:val="none"/>
                <w:u w:val="single"/>
                <w:lang w:val="en-US" w:eastAsia="zh-CN"/>
              </w:rPr>
              <w:t>0</w:t>
            </w:r>
            <w:r>
              <w:rPr>
                <w:rFonts w:hint="eastAsia" w:ascii="仿宋" w:hAnsi="仿宋" w:eastAsia="仿宋" w:cs="宋体"/>
                <w:kern w:val="0"/>
                <w:sz w:val="24"/>
                <w:highlight w:val="none"/>
                <w:u w:val="single"/>
              </w:rPr>
              <w:t>%</w:t>
            </w:r>
            <w:r>
              <w:rPr>
                <w:rFonts w:hint="eastAsia" w:ascii="仿宋" w:hAnsi="仿宋" w:eastAsia="仿宋" w:cs="宋体"/>
                <w:kern w:val="0"/>
                <w:sz w:val="24"/>
                <w:highlight w:val="none"/>
              </w:rPr>
              <w:t>后的评审报价</w:t>
            </w:r>
          </w:p>
        </w:tc>
        <w:tc>
          <w:tcPr>
            <w:tcW w:w="4720" w:type="dxa"/>
            <w:tcBorders>
              <w:top w:val="single" w:color="auto" w:sz="4" w:space="0"/>
              <w:left w:val="nil"/>
              <w:bottom w:val="single" w:color="auto" w:sz="4" w:space="0"/>
              <w:right w:val="single" w:color="auto" w:sz="4" w:space="0"/>
            </w:tcBorders>
            <w:noWrap/>
            <w:vAlign w:val="center"/>
          </w:tcPr>
          <w:p w14:paraId="72CB64CD">
            <w:pPr>
              <w:widowControl/>
              <w:jc w:val="left"/>
              <w:rPr>
                <w:rFonts w:ascii="仿宋" w:hAnsi="仿宋" w:eastAsia="仿宋" w:cs="宋体"/>
                <w:kern w:val="0"/>
                <w:sz w:val="24"/>
              </w:rPr>
            </w:pPr>
            <w:r>
              <w:rPr>
                <w:rFonts w:hint="eastAsia" w:ascii="仿宋" w:hAnsi="仿宋" w:eastAsia="仿宋" w:cs="宋体"/>
                <w:kern w:val="0"/>
                <w:sz w:val="24"/>
              </w:rPr>
              <w:t>小写：</w:t>
            </w:r>
          </w:p>
        </w:tc>
      </w:tr>
      <w:tr w14:paraId="27971C17">
        <w:tblPrEx>
          <w:tblCellMar>
            <w:top w:w="0" w:type="dxa"/>
            <w:left w:w="108" w:type="dxa"/>
            <w:bottom w:w="0" w:type="dxa"/>
            <w:right w:w="108" w:type="dxa"/>
          </w:tblCellMar>
        </w:tblPrEx>
        <w:trPr>
          <w:trHeight w:val="525" w:hRule="atLeast"/>
        </w:trPr>
        <w:tc>
          <w:tcPr>
            <w:tcW w:w="794" w:type="dxa"/>
            <w:vMerge w:val="continue"/>
            <w:tcBorders>
              <w:left w:val="single" w:color="auto" w:sz="4" w:space="0"/>
              <w:right w:val="single" w:color="auto" w:sz="4" w:space="0"/>
            </w:tcBorders>
            <w:vAlign w:val="center"/>
          </w:tcPr>
          <w:p w14:paraId="01E1DE15">
            <w:pPr>
              <w:widowControl/>
              <w:ind w:firstLine="480"/>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2FC3BA30">
            <w:pPr>
              <w:widowControl/>
              <w:ind w:firstLine="480"/>
              <w:jc w:val="left"/>
              <w:rPr>
                <w:rFonts w:ascii="仿宋" w:hAnsi="仿宋" w:eastAsia="仿宋" w:cs="宋体"/>
                <w:kern w:val="0"/>
                <w:sz w:val="24"/>
              </w:rPr>
            </w:pPr>
          </w:p>
        </w:tc>
        <w:tc>
          <w:tcPr>
            <w:tcW w:w="4720" w:type="dxa"/>
            <w:tcBorders>
              <w:top w:val="single" w:color="auto" w:sz="4" w:space="0"/>
              <w:left w:val="nil"/>
              <w:bottom w:val="single" w:color="auto" w:sz="4" w:space="0"/>
              <w:right w:val="single" w:color="auto" w:sz="4" w:space="0"/>
            </w:tcBorders>
            <w:noWrap/>
            <w:vAlign w:val="center"/>
          </w:tcPr>
          <w:p w14:paraId="35C4B69E">
            <w:pPr>
              <w:widowControl/>
              <w:jc w:val="left"/>
              <w:rPr>
                <w:rFonts w:ascii="仿宋" w:hAnsi="仿宋" w:eastAsia="仿宋" w:cs="宋体"/>
                <w:kern w:val="0"/>
                <w:sz w:val="24"/>
              </w:rPr>
            </w:pPr>
            <w:r>
              <w:rPr>
                <w:rFonts w:hint="eastAsia" w:ascii="仿宋" w:hAnsi="仿宋" w:eastAsia="仿宋" w:cs="宋体"/>
                <w:kern w:val="0"/>
                <w:sz w:val="24"/>
              </w:rPr>
              <w:t>大写：</w:t>
            </w:r>
          </w:p>
        </w:tc>
      </w:tr>
      <w:tr w14:paraId="2173F9BB">
        <w:tblPrEx>
          <w:tblCellMar>
            <w:top w:w="0" w:type="dxa"/>
            <w:left w:w="108" w:type="dxa"/>
            <w:bottom w:w="0" w:type="dxa"/>
            <w:right w:w="108" w:type="dxa"/>
          </w:tblCellMar>
        </w:tblPrEx>
        <w:trPr>
          <w:trHeight w:val="525" w:hRule="atLeast"/>
        </w:trPr>
        <w:tc>
          <w:tcPr>
            <w:tcW w:w="794" w:type="dxa"/>
            <w:vMerge w:val="continue"/>
            <w:tcBorders>
              <w:left w:val="single" w:color="auto" w:sz="4" w:space="0"/>
              <w:right w:val="single" w:color="auto" w:sz="4" w:space="0"/>
            </w:tcBorders>
            <w:vAlign w:val="center"/>
          </w:tcPr>
          <w:p w14:paraId="0077170B">
            <w:pPr>
              <w:widowControl/>
              <w:ind w:firstLine="480"/>
              <w:jc w:val="left"/>
              <w:rPr>
                <w:rFonts w:ascii="仿宋" w:hAnsi="仿宋" w:eastAsia="仿宋" w:cs="宋体"/>
                <w:kern w:val="0"/>
                <w:sz w:val="24"/>
              </w:rPr>
            </w:pPr>
          </w:p>
        </w:tc>
        <w:tc>
          <w:tcPr>
            <w:tcW w:w="3293" w:type="dxa"/>
            <w:vMerge w:val="restart"/>
            <w:tcBorders>
              <w:top w:val="nil"/>
              <w:left w:val="single" w:color="auto" w:sz="4" w:space="0"/>
              <w:right w:val="single" w:color="auto" w:sz="4" w:space="0"/>
            </w:tcBorders>
            <w:vAlign w:val="center"/>
          </w:tcPr>
          <w:p w14:paraId="703AE9F7">
            <w:pPr>
              <w:widowControl/>
              <w:ind w:firstLine="480"/>
              <w:jc w:val="left"/>
              <w:rPr>
                <w:rFonts w:ascii="仿宋" w:hAnsi="仿宋" w:eastAsia="仿宋" w:cs="宋体"/>
                <w:kern w:val="0"/>
                <w:sz w:val="24"/>
                <w:highlight w:val="none"/>
              </w:rPr>
            </w:pPr>
            <w:r>
              <w:rPr>
                <w:rFonts w:hint="eastAsia" w:ascii="仿宋" w:hAnsi="仿宋" w:eastAsia="仿宋" w:cs="宋体"/>
                <w:kern w:val="0"/>
                <w:sz w:val="24"/>
                <w:highlight w:val="none"/>
              </w:rPr>
              <w:t>小微企业、残疾人福利单位或者监狱和戒毒企业承接的工程，报价折扣</w:t>
            </w:r>
            <w:r>
              <w:rPr>
                <w:rFonts w:hint="eastAsia" w:ascii="仿宋" w:hAnsi="仿宋" w:eastAsia="仿宋" w:cs="宋体"/>
                <w:kern w:val="0"/>
                <w:sz w:val="24"/>
                <w:highlight w:val="none"/>
                <w:u w:val="single"/>
                <w:lang w:val="en-US" w:eastAsia="zh-CN"/>
              </w:rPr>
              <w:t>3</w:t>
            </w:r>
            <w:r>
              <w:rPr>
                <w:rFonts w:hint="eastAsia" w:ascii="仿宋" w:hAnsi="仿宋" w:eastAsia="仿宋" w:cs="宋体"/>
                <w:kern w:val="0"/>
                <w:sz w:val="24"/>
                <w:highlight w:val="none"/>
                <w:u w:val="single"/>
              </w:rPr>
              <w:t>%</w:t>
            </w:r>
            <w:r>
              <w:rPr>
                <w:rFonts w:hint="eastAsia" w:ascii="仿宋" w:hAnsi="仿宋" w:eastAsia="仿宋" w:cs="宋体"/>
                <w:kern w:val="0"/>
                <w:sz w:val="24"/>
                <w:highlight w:val="none"/>
              </w:rPr>
              <w:t>后的评审报价</w:t>
            </w:r>
          </w:p>
        </w:tc>
        <w:tc>
          <w:tcPr>
            <w:tcW w:w="4720" w:type="dxa"/>
            <w:tcBorders>
              <w:top w:val="single" w:color="auto" w:sz="4" w:space="0"/>
              <w:left w:val="nil"/>
              <w:bottom w:val="single" w:color="auto" w:sz="4" w:space="0"/>
              <w:right w:val="single" w:color="auto" w:sz="4" w:space="0"/>
            </w:tcBorders>
            <w:noWrap/>
            <w:vAlign w:val="center"/>
          </w:tcPr>
          <w:p w14:paraId="63D9D49D">
            <w:pPr>
              <w:widowControl/>
              <w:jc w:val="left"/>
              <w:rPr>
                <w:rFonts w:ascii="仿宋" w:hAnsi="仿宋" w:eastAsia="仿宋" w:cs="宋体"/>
                <w:kern w:val="0"/>
                <w:sz w:val="24"/>
              </w:rPr>
            </w:pPr>
            <w:r>
              <w:rPr>
                <w:rFonts w:hint="eastAsia" w:ascii="仿宋" w:hAnsi="仿宋" w:eastAsia="仿宋" w:cs="宋体"/>
                <w:kern w:val="0"/>
                <w:sz w:val="24"/>
              </w:rPr>
              <w:t>小写：</w:t>
            </w:r>
          </w:p>
        </w:tc>
      </w:tr>
      <w:tr w14:paraId="69191A20">
        <w:tblPrEx>
          <w:tblCellMar>
            <w:top w:w="0" w:type="dxa"/>
            <w:left w:w="108" w:type="dxa"/>
            <w:bottom w:w="0" w:type="dxa"/>
            <w:right w:w="108" w:type="dxa"/>
          </w:tblCellMar>
        </w:tblPrEx>
        <w:trPr>
          <w:trHeight w:val="525" w:hRule="atLeast"/>
        </w:trPr>
        <w:tc>
          <w:tcPr>
            <w:tcW w:w="794" w:type="dxa"/>
            <w:vMerge w:val="continue"/>
            <w:tcBorders>
              <w:left w:val="single" w:color="auto" w:sz="4" w:space="0"/>
              <w:right w:val="single" w:color="auto" w:sz="4" w:space="0"/>
            </w:tcBorders>
            <w:vAlign w:val="center"/>
          </w:tcPr>
          <w:p w14:paraId="75C3CD92">
            <w:pPr>
              <w:widowControl/>
              <w:ind w:firstLine="480"/>
              <w:jc w:val="left"/>
              <w:rPr>
                <w:rFonts w:ascii="仿宋" w:hAnsi="仿宋" w:eastAsia="仿宋" w:cs="宋体"/>
                <w:kern w:val="0"/>
                <w:sz w:val="24"/>
              </w:rPr>
            </w:pPr>
          </w:p>
        </w:tc>
        <w:tc>
          <w:tcPr>
            <w:tcW w:w="3293" w:type="dxa"/>
            <w:vMerge w:val="continue"/>
            <w:tcBorders>
              <w:left w:val="single" w:color="auto" w:sz="4" w:space="0"/>
              <w:bottom w:val="single" w:color="auto" w:sz="4" w:space="0"/>
              <w:right w:val="single" w:color="auto" w:sz="4" w:space="0"/>
            </w:tcBorders>
            <w:vAlign w:val="center"/>
          </w:tcPr>
          <w:p w14:paraId="4E38BDEA">
            <w:pPr>
              <w:widowControl/>
              <w:ind w:firstLine="480"/>
              <w:jc w:val="left"/>
              <w:rPr>
                <w:rFonts w:ascii="仿宋" w:hAnsi="仿宋" w:eastAsia="仿宋" w:cs="宋体"/>
                <w:kern w:val="0"/>
                <w:sz w:val="24"/>
              </w:rPr>
            </w:pPr>
          </w:p>
        </w:tc>
        <w:tc>
          <w:tcPr>
            <w:tcW w:w="4720" w:type="dxa"/>
            <w:tcBorders>
              <w:top w:val="single" w:color="auto" w:sz="4" w:space="0"/>
              <w:left w:val="nil"/>
              <w:bottom w:val="single" w:color="auto" w:sz="4" w:space="0"/>
              <w:right w:val="single" w:color="auto" w:sz="4" w:space="0"/>
            </w:tcBorders>
            <w:noWrap/>
            <w:vAlign w:val="center"/>
          </w:tcPr>
          <w:p w14:paraId="3D959404">
            <w:pPr>
              <w:widowControl/>
              <w:jc w:val="left"/>
              <w:rPr>
                <w:rFonts w:ascii="仿宋" w:hAnsi="仿宋" w:eastAsia="仿宋" w:cs="宋体"/>
                <w:kern w:val="0"/>
                <w:sz w:val="24"/>
              </w:rPr>
            </w:pPr>
            <w:r>
              <w:rPr>
                <w:rFonts w:hint="eastAsia" w:ascii="仿宋" w:hAnsi="仿宋" w:eastAsia="仿宋" w:cs="宋体"/>
                <w:kern w:val="0"/>
                <w:sz w:val="24"/>
              </w:rPr>
              <w:t>大写：</w:t>
            </w:r>
          </w:p>
        </w:tc>
      </w:tr>
      <w:tr w14:paraId="3908E508">
        <w:tblPrEx>
          <w:tblCellMar>
            <w:top w:w="0" w:type="dxa"/>
            <w:left w:w="108" w:type="dxa"/>
            <w:bottom w:w="0" w:type="dxa"/>
            <w:right w:w="108" w:type="dxa"/>
          </w:tblCellMar>
        </w:tblPrEx>
        <w:trPr>
          <w:trHeight w:val="1027" w:hRule="atLeast"/>
        </w:trPr>
        <w:tc>
          <w:tcPr>
            <w:tcW w:w="794" w:type="dxa"/>
            <w:vMerge w:val="continue"/>
            <w:tcBorders>
              <w:left w:val="single" w:color="auto" w:sz="4" w:space="0"/>
              <w:right w:val="single" w:color="auto" w:sz="4" w:space="0"/>
            </w:tcBorders>
            <w:vAlign w:val="center"/>
          </w:tcPr>
          <w:p w14:paraId="2959F667">
            <w:pPr>
              <w:widowControl/>
              <w:ind w:firstLine="480"/>
              <w:jc w:val="left"/>
              <w:rPr>
                <w:rFonts w:ascii="仿宋" w:hAnsi="仿宋" w:eastAsia="仿宋" w:cs="宋体"/>
                <w:kern w:val="0"/>
                <w:sz w:val="24"/>
              </w:rPr>
            </w:pPr>
          </w:p>
        </w:tc>
        <w:tc>
          <w:tcPr>
            <w:tcW w:w="3293" w:type="dxa"/>
            <w:vMerge w:val="restart"/>
            <w:tcBorders>
              <w:top w:val="nil"/>
              <w:left w:val="single" w:color="auto" w:sz="4" w:space="0"/>
              <w:bottom w:val="single" w:color="auto" w:sz="4" w:space="0"/>
              <w:right w:val="single" w:color="auto" w:sz="4" w:space="0"/>
            </w:tcBorders>
            <w:vAlign w:val="center"/>
          </w:tcPr>
          <w:p w14:paraId="45822613">
            <w:pPr>
              <w:widowControl/>
              <w:snapToGrid w:val="0"/>
              <w:ind w:firstLine="480"/>
              <w:jc w:val="left"/>
              <w:rPr>
                <w:rFonts w:ascii="仿宋" w:hAnsi="仿宋" w:eastAsia="仿宋" w:cs="宋体"/>
                <w:kern w:val="0"/>
                <w:sz w:val="24"/>
                <w:highlight w:val="none"/>
              </w:rPr>
            </w:pPr>
            <w:r>
              <w:rPr>
                <w:rFonts w:hint="eastAsia" w:ascii="仿宋" w:hAnsi="仿宋" w:eastAsia="仿宋" w:cs="Times New Roman"/>
                <w:sz w:val="24"/>
                <w:highlight w:val="none"/>
              </w:rPr>
              <w:t>联合协议或者分包意向协议约定小微企业的合同份额占到合同总金额 30%以上的，联合体或者大中型企业制造的产品或者承接的服务项目报价给予</w:t>
            </w:r>
            <w:r>
              <w:rPr>
                <w:rFonts w:hint="eastAsia" w:ascii="仿宋" w:hAnsi="仿宋" w:eastAsia="仿宋" w:cs="Times New Roman"/>
                <w:sz w:val="24"/>
                <w:highlight w:val="none"/>
                <w:lang w:val="en-US" w:eastAsia="zh-CN"/>
              </w:rPr>
              <w:t>4</w:t>
            </w:r>
            <w:r>
              <w:rPr>
                <w:rFonts w:hint="eastAsia" w:ascii="仿宋" w:hAnsi="仿宋" w:eastAsia="仿宋" w:cs="宋体"/>
                <w:kern w:val="0"/>
                <w:sz w:val="24"/>
                <w:highlight w:val="none"/>
                <w:u w:val="single"/>
              </w:rPr>
              <w:t>%</w:t>
            </w:r>
            <w:r>
              <w:rPr>
                <w:rFonts w:hint="eastAsia" w:ascii="仿宋" w:hAnsi="仿宋" w:eastAsia="仿宋" w:cs="Times New Roman"/>
                <w:sz w:val="24"/>
                <w:highlight w:val="none"/>
              </w:rPr>
              <w:t>的扣除后评审报价</w:t>
            </w:r>
          </w:p>
        </w:tc>
        <w:tc>
          <w:tcPr>
            <w:tcW w:w="4720" w:type="dxa"/>
            <w:tcBorders>
              <w:top w:val="single" w:color="auto" w:sz="4" w:space="0"/>
              <w:left w:val="nil"/>
              <w:bottom w:val="single" w:color="auto" w:sz="4" w:space="0"/>
              <w:right w:val="single" w:color="auto" w:sz="4" w:space="0"/>
            </w:tcBorders>
            <w:noWrap/>
            <w:vAlign w:val="center"/>
          </w:tcPr>
          <w:p w14:paraId="1F88441A">
            <w:pPr>
              <w:widowControl/>
              <w:jc w:val="left"/>
              <w:rPr>
                <w:rFonts w:ascii="仿宋" w:hAnsi="仿宋" w:eastAsia="仿宋" w:cs="宋体"/>
                <w:kern w:val="0"/>
                <w:sz w:val="24"/>
              </w:rPr>
            </w:pPr>
            <w:r>
              <w:rPr>
                <w:rFonts w:hint="eastAsia" w:ascii="仿宋" w:hAnsi="仿宋" w:eastAsia="仿宋" w:cs="宋体"/>
                <w:kern w:val="0"/>
                <w:sz w:val="24"/>
              </w:rPr>
              <w:t>小写：</w:t>
            </w:r>
          </w:p>
        </w:tc>
      </w:tr>
      <w:tr w14:paraId="424E619D">
        <w:tblPrEx>
          <w:tblCellMar>
            <w:top w:w="0" w:type="dxa"/>
            <w:left w:w="108" w:type="dxa"/>
            <w:bottom w:w="0" w:type="dxa"/>
            <w:right w:w="108" w:type="dxa"/>
          </w:tblCellMar>
        </w:tblPrEx>
        <w:trPr>
          <w:trHeight w:val="525" w:hRule="atLeast"/>
        </w:trPr>
        <w:tc>
          <w:tcPr>
            <w:tcW w:w="794" w:type="dxa"/>
            <w:vMerge w:val="continue"/>
            <w:tcBorders>
              <w:left w:val="single" w:color="auto" w:sz="4" w:space="0"/>
              <w:right w:val="single" w:color="auto" w:sz="4" w:space="0"/>
            </w:tcBorders>
            <w:vAlign w:val="center"/>
          </w:tcPr>
          <w:p w14:paraId="5B845F64">
            <w:pPr>
              <w:widowControl/>
              <w:ind w:firstLine="480"/>
              <w:jc w:val="left"/>
              <w:rPr>
                <w:rFonts w:ascii="仿宋" w:hAnsi="仿宋" w:eastAsia="仿宋" w:cs="宋体"/>
                <w:kern w:val="0"/>
                <w:sz w:val="24"/>
              </w:rPr>
            </w:pPr>
          </w:p>
        </w:tc>
        <w:tc>
          <w:tcPr>
            <w:tcW w:w="3293" w:type="dxa"/>
            <w:vMerge w:val="continue"/>
            <w:tcBorders>
              <w:top w:val="nil"/>
              <w:left w:val="single" w:color="auto" w:sz="4" w:space="0"/>
              <w:bottom w:val="single" w:color="auto" w:sz="4" w:space="0"/>
              <w:right w:val="single" w:color="auto" w:sz="4" w:space="0"/>
            </w:tcBorders>
            <w:vAlign w:val="center"/>
          </w:tcPr>
          <w:p w14:paraId="05C48521">
            <w:pPr>
              <w:widowControl/>
              <w:ind w:firstLine="480"/>
              <w:jc w:val="center"/>
              <w:rPr>
                <w:rFonts w:ascii="仿宋" w:hAnsi="仿宋" w:eastAsia="仿宋" w:cs="宋体"/>
                <w:kern w:val="0"/>
                <w:sz w:val="24"/>
              </w:rPr>
            </w:pPr>
          </w:p>
        </w:tc>
        <w:tc>
          <w:tcPr>
            <w:tcW w:w="4720" w:type="dxa"/>
            <w:tcBorders>
              <w:top w:val="single" w:color="auto" w:sz="4" w:space="0"/>
              <w:left w:val="nil"/>
              <w:bottom w:val="single" w:color="auto" w:sz="4" w:space="0"/>
              <w:right w:val="single" w:color="auto" w:sz="4" w:space="0"/>
            </w:tcBorders>
            <w:noWrap/>
            <w:vAlign w:val="center"/>
          </w:tcPr>
          <w:p w14:paraId="300A78B4">
            <w:pPr>
              <w:widowControl/>
              <w:jc w:val="left"/>
              <w:rPr>
                <w:rFonts w:ascii="仿宋" w:hAnsi="仿宋" w:eastAsia="仿宋" w:cs="宋体"/>
                <w:kern w:val="0"/>
                <w:sz w:val="24"/>
              </w:rPr>
            </w:pPr>
            <w:r>
              <w:rPr>
                <w:rFonts w:hint="eastAsia" w:ascii="仿宋" w:hAnsi="仿宋" w:eastAsia="仿宋" w:cs="宋体"/>
                <w:kern w:val="0"/>
                <w:sz w:val="24"/>
              </w:rPr>
              <w:t>大写：</w:t>
            </w:r>
          </w:p>
        </w:tc>
      </w:tr>
      <w:tr w14:paraId="59613BA8">
        <w:tblPrEx>
          <w:tblCellMar>
            <w:top w:w="0" w:type="dxa"/>
            <w:left w:w="108" w:type="dxa"/>
            <w:bottom w:w="0" w:type="dxa"/>
            <w:right w:w="108" w:type="dxa"/>
          </w:tblCellMar>
        </w:tblPrEx>
        <w:trPr>
          <w:trHeight w:val="525" w:hRule="atLeast"/>
        </w:trPr>
        <w:tc>
          <w:tcPr>
            <w:tcW w:w="794" w:type="dxa"/>
            <w:vMerge w:val="continue"/>
            <w:tcBorders>
              <w:left w:val="single" w:color="auto" w:sz="4" w:space="0"/>
              <w:right w:val="single" w:color="auto" w:sz="4" w:space="0"/>
            </w:tcBorders>
            <w:vAlign w:val="center"/>
          </w:tcPr>
          <w:p w14:paraId="25892946">
            <w:pPr>
              <w:widowControl/>
              <w:ind w:firstLine="480"/>
              <w:jc w:val="left"/>
              <w:rPr>
                <w:rFonts w:ascii="仿宋" w:hAnsi="仿宋" w:eastAsia="仿宋" w:cs="宋体"/>
                <w:kern w:val="0"/>
                <w:sz w:val="24"/>
              </w:rPr>
            </w:pPr>
          </w:p>
        </w:tc>
        <w:tc>
          <w:tcPr>
            <w:tcW w:w="3293" w:type="dxa"/>
            <w:vMerge w:val="restart"/>
            <w:tcBorders>
              <w:top w:val="nil"/>
              <w:left w:val="single" w:color="auto" w:sz="4" w:space="0"/>
              <w:right w:val="single" w:color="auto" w:sz="4" w:space="0"/>
            </w:tcBorders>
            <w:vAlign w:val="center"/>
          </w:tcPr>
          <w:p w14:paraId="46458FD7">
            <w:pPr>
              <w:widowControl/>
              <w:snapToGrid w:val="0"/>
              <w:ind w:firstLine="480"/>
              <w:jc w:val="left"/>
              <w:rPr>
                <w:rFonts w:ascii="仿宋" w:hAnsi="仿宋" w:eastAsia="仿宋" w:cs="宋体"/>
                <w:kern w:val="0"/>
                <w:sz w:val="24"/>
                <w:highlight w:val="none"/>
              </w:rPr>
            </w:pPr>
            <w:r>
              <w:rPr>
                <w:rFonts w:hint="eastAsia" w:ascii="仿宋" w:hAnsi="仿宋" w:eastAsia="仿宋" w:cs="Times New Roman"/>
                <w:sz w:val="24"/>
                <w:highlight w:val="none"/>
              </w:rPr>
              <w:t>联合协议或者分包意向协议约定小微企业的合同份额占到合同总金额 30%以上的，联合体或者大中型企业承接的工程项目报价给予</w:t>
            </w:r>
            <w:r>
              <w:rPr>
                <w:rFonts w:hint="eastAsia" w:ascii="仿宋" w:hAnsi="仿宋" w:eastAsia="仿宋" w:cs="Times New Roman"/>
                <w:sz w:val="24"/>
                <w:highlight w:val="none"/>
                <w:lang w:val="en-US" w:eastAsia="zh-CN"/>
              </w:rPr>
              <w:t>1</w:t>
            </w:r>
            <w:r>
              <w:rPr>
                <w:rFonts w:hint="eastAsia" w:ascii="仿宋" w:hAnsi="仿宋" w:eastAsia="仿宋" w:cs="宋体"/>
                <w:kern w:val="0"/>
                <w:sz w:val="24"/>
                <w:highlight w:val="none"/>
                <w:u w:val="single"/>
              </w:rPr>
              <w:t>%</w:t>
            </w:r>
            <w:r>
              <w:rPr>
                <w:rFonts w:hint="eastAsia" w:ascii="仿宋" w:hAnsi="仿宋" w:eastAsia="仿宋" w:cs="Times New Roman"/>
                <w:sz w:val="24"/>
                <w:highlight w:val="none"/>
              </w:rPr>
              <w:t>的扣除后评审报价</w:t>
            </w:r>
          </w:p>
        </w:tc>
        <w:tc>
          <w:tcPr>
            <w:tcW w:w="4720" w:type="dxa"/>
            <w:tcBorders>
              <w:top w:val="single" w:color="auto" w:sz="4" w:space="0"/>
              <w:left w:val="nil"/>
              <w:bottom w:val="single" w:color="auto" w:sz="4" w:space="0"/>
              <w:right w:val="single" w:color="auto" w:sz="4" w:space="0"/>
            </w:tcBorders>
            <w:noWrap/>
            <w:vAlign w:val="center"/>
          </w:tcPr>
          <w:p w14:paraId="7A1EA3AA">
            <w:pPr>
              <w:widowControl/>
              <w:jc w:val="left"/>
              <w:rPr>
                <w:rFonts w:ascii="仿宋" w:hAnsi="仿宋" w:eastAsia="仿宋" w:cs="宋体"/>
                <w:kern w:val="0"/>
                <w:sz w:val="24"/>
              </w:rPr>
            </w:pPr>
            <w:r>
              <w:rPr>
                <w:rFonts w:hint="eastAsia" w:ascii="仿宋" w:hAnsi="仿宋" w:eastAsia="仿宋" w:cs="宋体"/>
                <w:kern w:val="0"/>
                <w:sz w:val="24"/>
              </w:rPr>
              <w:t>小写：</w:t>
            </w:r>
          </w:p>
        </w:tc>
      </w:tr>
      <w:tr w14:paraId="106B90BE">
        <w:tblPrEx>
          <w:tblCellMar>
            <w:top w:w="0" w:type="dxa"/>
            <w:left w:w="108" w:type="dxa"/>
            <w:bottom w:w="0" w:type="dxa"/>
            <w:right w:w="108" w:type="dxa"/>
          </w:tblCellMar>
        </w:tblPrEx>
        <w:trPr>
          <w:trHeight w:val="525" w:hRule="atLeast"/>
        </w:trPr>
        <w:tc>
          <w:tcPr>
            <w:tcW w:w="794" w:type="dxa"/>
            <w:vMerge w:val="continue"/>
            <w:tcBorders>
              <w:left w:val="single" w:color="auto" w:sz="4" w:space="0"/>
              <w:bottom w:val="single" w:color="auto" w:sz="4" w:space="0"/>
              <w:right w:val="single" w:color="auto" w:sz="4" w:space="0"/>
            </w:tcBorders>
            <w:vAlign w:val="center"/>
          </w:tcPr>
          <w:p w14:paraId="27D320D5">
            <w:pPr>
              <w:widowControl/>
              <w:ind w:firstLine="480"/>
              <w:jc w:val="left"/>
              <w:rPr>
                <w:rFonts w:ascii="仿宋" w:hAnsi="仿宋" w:eastAsia="仿宋" w:cs="宋体"/>
                <w:kern w:val="0"/>
                <w:sz w:val="24"/>
              </w:rPr>
            </w:pPr>
          </w:p>
        </w:tc>
        <w:tc>
          <w:tcPr>
            <w:tcW w:w="3293" w:type="dxa"/>
            <w:vMerge w:val="continue"/>
            <w:tcBorders>
              <w:left w:val="single" w:color="auto" w:sz="4" w:space="0"/>
              <w:bottom w:val="single" w:color="auto" w:sz="4" w:space="0"/>
              <w:right w:val="single" w:color="auto" w:sz="4" w:space="0"/>
            </w:tcBorders>
            <w:vAlign w:val="center"/>
          </w:tcPr>
          <w:p w14:paraId="74063470">
            <w:pPr>
              <w:widowControl/>
              <w:ind w:firstLine="480"/>
              <w:jc w:val="center"/>
              <w:rPr>
                <w:rFonts w:ascii="仿宋" w:hAnsi="仿宋" w:eastAsia="仿宋" w:cs="宋体"/>
                <w:kern w:val="0"/>
                <w:sz w:val="24"/>
              </w:rPr>
            </w:pPr>
          </w:p>
        </w:tc>
        <w:tc>
          <w:tcPr>
            <w:tcW w:w="4720" w:type="dxa"/>
            <w:tcBorders>
              <w:top w:val="single" w:color="auto" w:sz="4" w:space="0"/>
              <w:left w:val="nil"/>
              <w:bottom w:val="single" w:color="auto" w:sz="4" w:space="0"/>
              <w:right w:val="single" w:color="auto" w:sz="4" w:space="0"/>
            </w:tcBorders>
            <w:noWrap/>
            <w:vAlign w:val="center"/>
          </w:tcPr>
          <w:p w14:paraId="7E8CE17B">
            <w:pPr>
              <w:widowControl/>
              <w:jc w:val="left"/>
              <w:rPr>
                <w:rFonts w:ascii="仿宋" w:hAnsi="仿宋" w:eastAsia="仿宋" w:cs="宋体"/>
                <w:kern w:val="0"/>
                <w:sz w:val="24"/>
              </w:rPr>
            </w:pPr>
            <w:r>
              <w:rPr>
                <w:rFonts w:hint="eastAsia" w:ascii="仿宋" w:hAnsi="仿宋" w:eastAsia="仿宋" w:cs="宋体"/>
                <w:kern w:val="0"/>
                <w:sz w:val="24"/>
              </w:rPr>
              <w:t>大写：</w:t>
            </w:r>
          </w:p>
        </w:tc>
      </w:tr>
    </w:tbl>
    <w:p w14:paraId="49688EC0">
      <w:pPr>
        <w:spacing w:line="500" w:lineRule="exact"/>
        <w:ind w:firstLine="560" w:firstLineChars="200"/>
        <w:rPr>
          <w:rFonts w:ascii="仿宋" w:hAnsi="仿宋" w:eastAsia="仿宋"/>
          <w:bCs/>
          <w:sz w:val="28"/>
          <w:szCs w:val="28"/>
          <w:highlight w:val="none"/>
        </w:rPr>
      </w:pPr>
      <w:bookmarkStart w:id="53" w:name="_GoBack"/>
      <w:bookmarkEnd w:id="53"/>
    </w:p>
    <w:p w14:paraId="3C49180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（二） 竞争性谈判响应报价明细表</w:t>
      </w:r>
    </w:p>
    <w:p w14:paraId="10E26F13">
      <w:pPr>
        <w:spacing w:line="560" w:lineRule="exact"/>
        <w:ind w:firstLine="3040" w:firstLineChars="950"/>
        <w:rPr>
          <w:rFonts w:hint="eastAsia" w:ascii="黑体" w:hAnsi="黑体" w:eastAsia="黑体" w:cs="黑体"/>
          <w:sz w:val="24"/>
          <w:highlight w:val="none"/>
        </w:rPr>
      </w:pPr>
      <w:r>
        <w:rPr>
          <w:rFonts w:hint="eastAsia" w:ascii="黑体" w:hAnsi="黑体" w:eastAsia="黑体" w:cs="黑体"/>
          <w:sz w:val="32"/>
          <w:szCs w:val="32"/>
          <w:highlight w:val="none"/>
        </w:rPr>
        <w:t>竞争性谈判响应报价明细表</w:t>
      </w:r>
    </w:p>
    <w:p w14:paraId="2F2FF8AB">
      <w:pPr>
        <w:widowControl w:val="0"/>
        <w:spacing w:line="400" w:lineRule="atLeast"/>
        <w:jc w:val="both"/>
        <w:outlineLvl w:val="9"/>
        <w:rPr>
          <w:rFonts w:ascii="仿宋" w:hAnsi="仿宋" w:eastAsia="仿宋" w:cs="Times New Roman"/>
          <w:kern w:val="2"/>
          <w:sz w:val="24"/>
          <w:szCs w:val="24"/>
          <w:highlight w:val="none"/>
          <w:lang w:val="en-US" w:eastAsia="zh-CN" w:bidi="ar-SA"/>
        </w:rPr>
      </w:pPr>
      <w:r>
        <w:rPr>
          <w:rFonts w:hint="eastAsia" w:ascii="仿宋" w:hAnsi="仿宋" w:eastAsia="仿宋" w:cs="Times New Roman"/>
          <w:kern w:val="2"/>
          <w:sz w:val="24"/>
          <w:szCs w:val="24"/>
          <w:highlight w:val="none"/>
          <w:lang w:val="en-US" w:eastAsia="zh-CN" w:bidi="ar-SA"/>
        </w:rPr>
        <w:t xml:space="preserve">项目名称：如皋市高级技工学校钳工职业技能鉴定设备 </w:t>
      </w:r>
    </w:p>
    <w:p w14:paraId="67CA18A2">
      <w:pPr>
        <w:rPr>
          <w:rFonts w:hint="eastAsia" w:ascii="仿宋" w:hAnsi="仿宋" w:eastAsia="仿宋" w:cs="Times New Roman"/>
          <w:sz w:val="24"/>
          <w:highlight w:val="none"/>
        </w:rPr>
      </w:pPr>
      <w:r>
        <w:rPr>
          <w:rFonts w:hint="eastAsia" w:ascii="仿宋" w:hAnsi="仿宋" w:eastAsia="仿宋" w:cs="Times New Roman"/>
          <w:sz w:val="24"/>
          <w:highlight w:val="none"/>
        </w:rPr>
        <w:t>项目编号：</w:t>
      </w:r>
    </w:p>
    <w:tbl>
      <w:tblPr>
        <w:tblStyle w:val="19"/>
        <w:tblW w:w="50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5701"/>
        <w:gridCol w:w="762"/>
        <w:gridCol w:w="977"/>
        <w:gridCol w:w="1438"/>
      </w:tblGrid>
      <w:tr w14:paraId="08DC7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8" w:type="pct"/>
            <w:noWrap w:val="0"/>
            <w:vAlign w:val="center"/>
          </w:tcPr>
          <w:p w14:paraId="72C4AA83">
            <w:pPr>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2942" w:type="pct"/>
            <w:noWrap w:val="0"/>
            <w:vAlign w:val="center"/>
          </w:tcPr>
          <w:p w14:paraId="02CFEF6B">
            <w:pPr>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设备名称</w:t>
            </w:r>
          </w:p>
        </w:tc>
        <w:tc>
          <w:tcPr>
            <w:tcW w:w="393" w:type="pct"/>
            <w:noWrap w:val="0"/>
            <w:vAlign w:val="center"/>
          </w:tcPr>
          <w:p w14:paraId="3039F054">
            <w:pPr>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504" w:type="pct"/>
            <w:noWrap w:val="0"/>
            <w:vAlign w:val="center"/>
          </w:tcPr>
          <w:p w14:paraId="02A62629">
            <w:pPr>
              <w:jc w:val="center"/>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单价（元）</w:t>
            </w:r>
          </w:p>
        </w:tc>
        <w:tc>
          <w:tcPr>
            <w:tcW w:w="741" w:type="pct"/>
            <w:noWrap w:val="0"/>
            <w:vAlign w:val="center"/>
          </w:tcPr>
          <w:p w14:paraId="128C1FBC">
            <w:pPr>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单项合计价</w:t>
            </w:r>
          </w:p>
          <w:p w14:paraId="0D1C69FE">
            <w:pPr>
              <w:adjustRightInd w:val="0"/>
              <w:spacing w:line="288" w:lineRule="auto"/>
              <w:jc w:val="center"/>
              <w:outlineLvl w:val="9"/>
              <w:rPr>
                <w:rFonts w:hint="eastAsia" w:ascii="仿宋" w:hAnsi="仿宋" w:eastAsia="仿宋" w:cs="仿宋"/>
                <w:b/>
                <w:sz w:val="24"/>
                <w:szCs w:val="24"/>
                <w:highlight w:val="none"/>
                <w:lang w:val="en-US" w:eastAsia="zh-CN"/>
              </w:rPr>
            </w:pPr>
            <w:r>
              <w:rPr>
                <w:rFonts w:hint="eastAsia" w:ascii="仿宋" w:hAnsi="仿宋" w:eastAsia="仿宋" w:cs="仿宋"/>
                <w:sz w:val="24"/>
                <w:szCs w:val="24"/>
                <w:highlight w:val="none"/>
              </w:rPr>
              <w:t>（元）</w:t>
            </w:r>
          </w:p>
        </w:tc>
      </w:tr>
      <w:tr w14:paraId="5E12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8" w:type="pct"/>
            <w:noWrap w:val="0"/>
            <w:vAlign w:val="center"/>
          </w:tcPr>
          <w:p w14:paraId="1B3ACA7D">
            <w:pPr>
              <w:adjustRightInd w:val="0"/>
              <w:spacing w:line="288" w:lineRule="auto"/>
              <w:jc w:val="center"/>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2942" w:type="pct"/>
            <w:noWrap w:val="0"/>
            <w:vAlign w:val="center"/>
          </w:tcPr>
          <w:p w14:paraId="058D56EB">
            <w:pPr>
              <w:widowControl/>
              <w:adjustRightInd w:val="0"/>
              <w:snapToGrid w:val="0"/>
              <w:jc w:val="center"/>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工业机械传动系统装调平台</w:t>
            </w:r>
          </w:p>
        </w:tc>
        <w:tc>
          <w:tcPr>
            <w:tcW w:w="393" w:type="pct"/>
            <w:noWrap w:val="0"/>
            <w:vAlign w:val="center"/>
          </w:tcPr>
          <w:p w14:paraId="6B103C31">
            <w:pPr>
              <w:adjustRightInd w:val="0"/>
              <w:spacing w:line="288" w:lineRule="auto"/>
              <w:jc w:val="center"/>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1套</w:t>
            </w:r>
          </w:p>
        </w:tc>
        <w:tc>
          <w:tcPr>
            <w:tcW w:w="504" w:type="pct"/>
            <w:noWrap w:val="0"/>
            <w:vAlign w:val="center"/>
          </w:tcPr>
          <w:p w14:paraId="287E3A02">
            <w:pPr>
              <w:adjustRightInd w:val="0"/>
              <w:spacing w:line="288" w:lineRule="auto"/>
              <w:jc w:val="center"/>
              <w:outlineLvl w:val="9"/>
              <w:rPr>
                <w:rFonts w:hint="eastAsia" w:ascii="仿宋" w:hAnsi="仿宋" w:eastAsia="仿宋" w:cs="仿宋"/>
                <w:bCs/>
                <w:sz w:val="24"/>
                <w:szCs w:val="24"/>
                <w:highlight w:val="none"/>
                <w:lang w:val="en-US" w:eastAsia="zh-CN"/>
              </w:rPr>
            </w:pPr>
          </w:p>
        </w:tc>
        <w:tc>
          <w:tcPr>
            <w:tcW w:w="741" w:type="pct"/>
            <w:noWrap w:val="0"/>
            <w:vAlign w:val="center"/>
          </w:tcPr>
          <w:p w14:paraId="095E4CE6">
            <w:pPr>
              <w:adjustRightInd w:val="0"/>
              <w:spacing w:line="288" w:lineRule="auto"/>
              <w:jc w:val="center"/>
              <w:outlineLvl w:val="9"/>
              <w:rPr>
                <w:rFonts w:hint="eastAsia" w:ascii="仿宋" w:hAnsi="仿宋" w:eastAsia="仿宋" w:cs="仿宋"/>
                <w:bCs/>
                <w:sz w:val="24"/>
                <w:szCs w:val="24"/>
                <w:highlight w:val="none"/>
                <w:lang w:val="en-US" w:eastAsia="zh-CN"/>
              </w:rPr>
            </w:pPr>
          </w:p>
        </w:tc>
      </w:tr>
      <w:tr w14:paraId="5471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8" w:type="pct"/>
            <w:noWrap w:val="0"/>
            <w:vAlign w:val="center"/>
          </w:tcPr>
          <w:p w14:paraId="71F145B9">
            <w:pPr>
              <w:adjustRightInd w:val="0"/>
              <w:spacing w:line="288" w:lineRule="auto"/>
              <w:jc w:val="center"/>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2</w:t>
            </w:r>
          </w:p>
        </w:tc>
        <w:tc>
          <w:tcPr>
            <w:tcW w:w="2942" w:type="pct"/>
            <w:noWrap w:val="0"/>
            <w:vAlign w:val="center"/>
          </w:tcPr>
          <w:p w14:paraId="4D65C10D">
            <w:pPr>
              <w:widowControl/>
              <w:adjustRightInd w:val="0"/>
              <w:snapToGrid w:val="0"/>
              <w:jc w:val="center"/>
              <w:outlineLvl w:val="9"/>
              <w:rPr>
                <w:rFonts w:hint="eastAsia" w:ascii="仿宋" w:hAnsi="仿宋" w:eastAsia="仿宋" w:cs="仿宋"/>
                <w:bCs/>
                <w:sz w:val="24"/>
                <w:szCs w:val="24"/>
                <w:highlight w:val="none"/>
              </w:rPr>
            </w:pPr>
            <w:r>
              <w:rPr>
                <w:rFonts w:hint="eastAsia" w:ascii="仿宋" w:hAnsi="仿宋" w:eastAsia="仿宋" w:cs="仿宋"/>
                <w:sz w:val="24"/>
                <w:szCs w:val="24"/>
                <w:highlight w:val="none"/>
              </w:rPr>
              <w:t>现代装配钳工综合实训平台考核设备</w:t>
            </w:r>
          </w:p>
        </w:tc>
        <w:tc>
          <w:tcPr>
            <w:tcW w:w="393" w:type="pct"/>
            <w:noWrap w:val="0"/>
            <w:vAlign w:val="center"/>
          </w:tcPr>
          <w:p w14:paraId="25E6DA66">
            <w:pPr>
              <w:adjustRightInd w:val="0"/>
              <w:spacing w:line="288" w:lineRule="auto"/>
              <w:jc w:val="center"/>
              <w:outlineLvl w:val="9"/>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9套</w:t>
            </w:r>
          </w:p>
        </w:tc>
        <w:tc>
          <w:tcPr>
            <w:tcW w:w="504" w:type="pct"/>
            <w:noWrap w:val="0"/>
            <w:vAlign w:val="center"/>
          </w:tcPr>
          <w:p w14:paraId="6C682EDA">
            <w:pPr>
              <w:adjustRightInd w:val="0"/>
              <w:spacing w:line="288" w:lineRule="auto"/>
              <w:jc w:val="center"/>
              <w:outlineLvl w:val="9"/>
              <w:rPr>
                <w:rFonts w:hint="eastAsia" w:ascii="仿宋" w:hAnsi="仿宋" w:eastAsia="仿宋" w:cs="仿宋"/>
                <w:bCs/>
                <w:sz w:val="24"/>
                <w:szCs w:val="24"/>
                <w:highlight w:val="none"/>
                <w:lang w:val="en-US" w:eastAsia="zh-CN"/>
              </w:rPr>
            </w:pPr>
          </w:p>
        </w:tc>
        <w:tc>
          <w:tcPr>
            <w:tcW w:w="741" w:type="pct"/>
            <w:noWrap w:val="0"/>
            <w:vAlign w:val="center"/>
          </w:tcPr>
          <w:p w14:paraId="2FC481DA">
            <w:pPr>
              <w:adjustRightInd w:val="0"/>
              <w:spacing w:line="288" w:lineRule="auto"/>
              <w:jc w:val="center"/>
              <w:outlineLvl w:val="9"/>
              <w:rPr>
                <w:rFonts w:hint="eastAsia" w:ascii="仿宋" w:hAnsi="仿宋" w:eastAsia="仿宋" w:cs="仿宋"/>
                <w:bCs/>
                <w:sz w:val="24"/>
                <w:szCs w:val="24"/>
                <w:highlight w:val="none"/>
                <w:lang w:val="en-US" w:eastAsia="zh-CN"/>
              </w:rPr>
            </w:pPr>
          </w:p>
        </w:tc>
      </w:tr>
      <w:tr w14:paraId="6A48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8" w:type="pct"/>
            <w:noWrap w:val="0"/>
            <w:vAlign w:val="center"/>
          </w:tcPr>
          <w:p w14:paraId="718C7A5F">
            <w:pPr>
              <w:adjustRightInd w:val="0"/>
              <w:spacing w:line="288" w:lineRule="auto"/>
              <w:jc w:val="center"/>
              <w:outlineLvl w:val="9"/>
              <w:rPr>
                <w:rFonts w:hint="eastAsia" w:ascii="仿宋" w:hAnsi="仿宋" w:eastAsia="仿宋" w:cs="仿宋"/>
                <w:bCs/>
                <w:sz w:val="24"/>
                <w:szCs w:val="24"/>
                <w:highlight w:val="none"/>
              </w:rPr>
            </w:pPr>
            <w:r>
              <w:rPr>
                <w:rFonts w:hint="eastAsia" w:ascii="仿宋" w:hAnsi="仿宋" w:eastAsia="仿宋" w:cs="仿宋"/>
                <w:bCs/>
                <w:sz w:val="24"/>
                <w:szCs w:val="24"/>
                <w:highlight w:val="none"/>
              </w:rPr>
              <w:t>3</w:t>
            </w:r>
          </w:p>
        </w:tc>
        <w:tc>
          <w:tcPr>
            <w:tcW w:w="2942" w:type="pct"/>
            <w:noWrap w:val="0"/>
            <w:vAlign w:val="center"/>
          </w:tcPr>
          <w:p w14:paraId="5A74AFBE">
            <w:pPr>
              <w:adjustRightInd w:val="0"/>
              <w:spacing w:line="288" w:lineRule="auto"/>
              <w:jc w:val="center"/>
              <w:outlineLvl w:val="9"/>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实训室配套基础设施</w:t>
            </w:r>
          </w:p>
        </w:tc>
        <w:tc>
          <w:tcPr>
            <w:tcW w:w="393" w:type="pct"/>
            <w:noWrap w:val="0"/>
            <w:vAlign w:val="center"/>
          </w:tcPr>
          <w:p w14:paraId="0FCB36D1">
            <w:pPr>
              <w:adjustRightInd w:val="0"/>
              <w:spacing w:line="288" w:lineRule="auto"/>
              <w:jc w:val="center"/>
              <w:outlineLvl w:val="9"/>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val="en-US" w:eastAsia="zh-CN"/>
              </w:rPr>
              <w:t>批</w:t>
            </w:r>
          </w:p>
        </w:tc>
        <w:tc>
          <w:tcPr>
            <w:tcW w:w="504" w:type="pct"/>
            <w:noWrap w:val="0"/>
            <w:vAlign w:val="center"/>
          </w:tcPr>
          <w:p w14:paraId="10E13970">
            <w:pPr>
              <w:adjustRightInd w:val="0"/>
              <w:spacing w:line="288" w:lineRule="auto"/>
              <w:jc w:val="center"/>
              <w:outlineLvl w:val="9"/>
              <w:rPr>
                <w:rFonts w:hint="eastAsia" w:ascii="仿宋" w:hAnsi="仿宋" w:eastAsia="仿宋" w:cs="仿宋"/>
                <w:bCs/>
                <w:sz w:val="24"/>
                <w:szCs w:val="24"/>
                <w:highlight w:val="none"/>
                <w:lang w:val="en-US" w:eastAsia="zh-CN"/>
              </w:rPr>
            </w:pPr>
          </w:p>
        </w:tc>
        <w:tc>
          <w:tcPr>
            <w:tcW w:w="741" w:type="pct"/>
            <w:noWrap w:val="0"/>
            <w:vAlign w:val="center"/>
          </w:tcPr>
          <w:p w14:paraId="7A4A9132">
            <w:pPr>
              <w:adjustRightInd w:val="0"/>
              <w:spacing w:line="288" w:lineRule="auto"/>
              <w:jc w:val="center"/>
              <w:outlineLvl w:val="9"/>
              <w:rPr>
                <w:rFonts w:hint="eastAsia" w:ascii="仿宋" w:hAnsi="仿宋" w:eastAsia="仿宋" w:cs="仿宋"/>
                <w:bCs/>
                <w:sz w:val="24"/>
                <w:szCs w:val="24"/>
                <w:highlight w:val="none"/>
                <w:lang w:val="en-US" w:eastAsia="zh-CN"/>
              </w:rPr>
            </w:pPr>
          </w:p>
        </w:tc>
      </w:tr>
      <w:tr w14:paraId="174D7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8" w:type="pct"/>
            <w:noWrap w:val="0"/>
            <w:vAlign w:val="center"/>
          </w:tcPr>
          <w:p w14:paraId="49056B25">
            <w:pPr>
              <w:adjustRightInd w:val="0"/>
              <w:spacing w:line="288" w:lineRule="auto"/>
              <w:jc w:val="center"/>
              <w:outlineLvl w:val="9"/>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4</w:t>
            </w:r>
          </w:p>
        </w:tc>
        <w:tc>
          <w:tcPr>
            <w:tcW w:w="2942" w:type="pct"/>
            <w:noWrap w:val="0"/>
            <w:vAlign w:val="center"/>
          </w:tcPr>
          <w:p w14:paraId="4AE56E34">
            <w:pPr>
              <w:adjustRightInd w:val="0"/>
              <w:spacing w:line="288" w:lineRule="auto"/>
              <w:jc w:val="center"/>
              <w:outlineLvl w:val="9"/>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合计</w:t>
            </w:r>
          </w:p>
        </w:tc>
        <w:tc>
          <w:tcPr>
            <w:tcW w:w="1639" w:type="pct"/>
            <w:gridSpan w:val="3"/>
            <w:noWrap w:val="0"/>
            <w:vAlign w:val="center"/>
          </w:tcPr>
          <w:p w14:paraId="407A3C76">
            <w:pPr>
              <w:adjustRightInd w:val="0"/>
              <w:spacing w:line="288" w:lineRule="auto"/>
              <w:jc w:val="center"/>
              <w:outlineLvl w:val="9"/>
              <w:rPr>
                <w:rFonts w:hint="eastAsia" w:ascii="仿宋" w:hAnsi="仿宋" w:eastAsia="仿宋" w:cs="仿宋"/>
                <w:bCs/>
                <w:sz w:val="24"/>
                <w:szCs w:val="24"/>
                <w:highlight w:val="none"/>
                <w:lang w:val="en-US" w:eastAsia="zh-CN"/>
              </w:rPr>
            </w:pPr>
          </w:p>
        </w:tc>
      </w:tr>
    </w:tbl>
    <w:p w14:paraId="5B04BB61">
      <w:pPr>
        <w:spacing w:line="300" w:lineRule="exact"/>
        <w:outlineLvl w:val="9"/>
        <w:rPr>
          <w:rFonts w:ascii="仿宋" w:hAnsi="仿宋" w:eastAsia="仿宋" w:cs="Times New Roman"/>
          <w:b/>
          <w:szCs w:val="21"/>
          <w:highlight w:val="none"/>
        </w:rPr>
      </w:pPr>
      <w:r>
        <w:rPr>
          <w:rFonts w:hint="eastAsia" w:ascii="仿宋" w:hAnsi="仿宋" w:eastAsia="仿宋" w:cs="Times New Roman"/>
          <w:sz w:val="24"/>
          <w:highlight w:val="none"/>
        </w:rPr>
        <w:t xml:space="preserve"> </w:t>
      </w:r>
      <w:r>
        <w:rPr>
          <w:rFonts w:hint="eastAsia" w:ascii="仿宋" w:hAnsi="仿宋" w:eastAsia="仿宋" w:cs="Times New Roman"/>
          <w:szCs w:val="21"/>
          <w:highlight w:val="none"/>
        </w:rPr>
        <w:t>注：</w:t>
      </w:r>
    </w:p>
    <w:p w14:paraId="22E7304B">
      <w:pPr>
        <w:spacing w:line="300" w:lineRule="exact"/>
        <w:outlineLvl w:val="9"/>
        <w:rPr>
          <w:rFonts w:hint="eastAsia" w:ascii="仿宋" w:hAnsi="仿宋" w:eastAsia="仿宋" w:cs="Times New Roman"/>
          <w:szCs w:val="21"/>
          <w:highlight w:val="none"/>
        </w:rPr>
      </w:pPr>
      <w:r>
        <w:rPr>
          <w:rFonts w:hint="eastAsia" w:ascii="仿宋" w:hAnsi="仿宋" w:eastAsia="仿宋" w:cs="Times New Roman"/>
          <w:szCs w:val="21"/>
          <w:highlight w:val="none"/>
        </w:rPr>
        <w:t>1. 供应商必须详细报出采购清单中各个子项的名称、品牌</w:t>
      </w:r>
      <w:r>
        <w:rPr>
          <w:rFonts w:hint="eastAsia" w:ascii="仿宋" w:hAnsi="仿宋" w:eastAsia="仿宋" w:cs="Times New Roman"/>
          <w:szCs w:val="21"/>
          <w:highlight w:val="none"/>
          <w:lang w:val="en-US" w:eastAsia="zh-CN"/>
        </w:rPr>
        <w:t>和</w:t>
      </w:r>
      <w:r>
        <w:rPr>
          <w:rFonts w:hint="eastAsia" w:ascii="仿宋" w:hAnsi="仿宋" w:eastAsia="仿宋" w:cs="Times New Roman"/>
          <w:szCs w:val="21"/>
          <w:highlight w:val="none"/>
        </w:rPr>
        <w:t>型号</w:t>
      </w:r>
      <w:r>
        <w:rPr>
          <w:rFonts w:hint="eastAsia" w:ascii="仿宋" w:hAnsi="仿宋" w:eastAsia="仿宋" w:cs="Times New Roman"/>
          <w:szCs w:val="21"/>
          <w:highlight w:val="none"/>
          <w:lang w:eastAsia="zh-CN"/>
        </w:rPr>
        <w:t>、</w:t>
      </w:r>
      <w:r>
        <w:rPr>
          <w:rFonts w:hint="eastAsia" w:ascii="仿宋" w:hAnsi="仿宋" w:eastAsia="仿宋" w:cs="Times New Roman"/>
          <w:szCs w:val="21"/>
          <w:highlight w:val="none"/>
        </w:rPr>
        <w:t>单价</w:t>
      </w:r>
      <w:r>
        <w:rPr>
          <w:rFonts w:hint="eastAsia" w:ascii="仿宋" w:hAnsi="仿宋" w:eastAsia="仿宋" w:cs="Times New Roman"/>
          <w:szCs w:val="21"/>
          <w:highlight w:val="none"/>
          <w:lang w:eastAsia="zh-CN"/>
        </w:rPr>
        <w:t>、</w:t>
      </w:r>
      <w:r>
        <w:rPr>
          <w:rFonts w:hint="eastAsia" w:ascii="仿宋" w:hAnsi="仿宋" w:eastAsia="仿宋" w:cs="Times New Roman"/>
          <w:szCs w:val="21"/>
          <w:highlight w:val="none"/>
          <w:lang w:val="en-US" w:eastAsia="zh-CN"/>
        </w:rPr>
        <w:t>总价等</w:t>
      </w:r>
      <w:r>
        <w:rPr>
          <w:rFonts w:hint="eastAsia" w:ascii="仿宋" w:hAnsi="仿宋" w:eastAsia="仿宋" w:cs="Times New Roman"/>
          <w:szCs w:val="21"/>
          <w:highlight w:val="none"/>
        </w:rPr>
        <w:t>，未按以上要求填报，将作为无效</w:t>
      </w:r>
      <w:r>
        <w:rPr>
          <w:rFonts w:hint="eastAsia" w:ascii="仿宋" w:hAnsi="仿宋" w:eastAsia="仿宋" w:cs="Times New Roman"/>
          <w:szCs w:val="21"/>
          <w:highlight w:val="none"/>
          <w:lang w:val="en-US" w:eastAsia="zh-CN"/>
        </w:rPr>
        <w:t>响应</w:t>
      </w:r>
      <w:r>
        <w:rPr>
          <w:rFonts w:hint="eastAsia" w:ascii="仿宋" w:hAnsi="仿宋" w:eastAsia="仿宋" w:cs="Times New Roman"/>
          <w:szCs w:val="21"/>
          <w:highlight w:val="none"/>
        </w:rPr>
        <w:t>处理。</w:t>
      </w:r>
    </w:p>
    <w:p w14:paraId="704CFC81">
      <w:pPr>
        <w:spacing w:line="300" w:lineRule="exact"/>
        <w:outlineLvl w:val="9"/>
        <w:rPr>
          <w:rFonts w:hint="eastAsia" w:ascii="仿宋" w:hAnsi="仿宋" w:eastAsia="仿宋" w:cs="Times New Roman"/>
          <w:szCs w:val="21"/>
          <w:highlight w:val="none"/>
        </w:rPr>
      </w:pPr>
      <w:r>
        <w:rPr>
          <w:rFonts w:hint="eastAsia" w:ascii="仿宋" w:hAnsi="仿宋" w:eastAsia="仿宋" w:cs="Times New Roman"/>
          <w:szCs w:val="21"/>
          <w:highlight w:val="none"/>
        </w:rPr>
        <w:t>2.供应商须详细备注主要标的信息，并将随成交公告进行公示。内容不实的，属于提供虚假材料谋取中标、成交，依照《中华人民共和国政府采购法》等国家有关规定追究相应责任。</w:t>
      </w:r>
    </w:p>
    <w:p w14:paraId="35F90C4B">
      <w:pPr>
        <w:spacing w:line="300" w:lineRule="exact"/>
        <w:outlineLvl w:val="9"/>
        <w:rPr>
          <w:rFonts w:hint="eastAsia" w:ascii="仿宋" w:hAnsi="仿宋" w:eastAsia="仿宋" w:cs="Times New Roman"/>
          <w:szCs w:val="21"/>
          <w:highlight w:val="none"/>
        </w:rPr>
      </w:pPr>
      <w:r>
        <w:rPr>
          <w:rFonts w:hint="eastAsia" w:ascii="仿宋" w:hAnsi="仿宋" w:eastAsia="仿宋" w:cs="Times New Roman"/>
          <w:szCs w:val="21"/>
          <w:highlight w:val="none"/>
          <w:lang w:val="en-US" w:eastAsia="zh-CN"/>
        </w:rPr>
        <w:t>3.</w:t>
      </w:r>
      <w:r>
        <w:rPr>
          <w:rFonts w:hint="eastAsia" w:ascii="仿宋" w:hAnsi="仿宋" w:eastAsia="仿宋" w:cs="Times New Roman"/>
          <w:szCs w:val="21"/>
          <w:highlight w:val="none"/>
        </w:rPr>
        <w:t>此表可以根据需要自行增减行数。</w:t>
      </w:r>
    </w:p>
    <w:p w14:paraId="356FE15E">
      <w:pPr>
        <w:spacing w:line="300" w:lineRule="exact"/>
        <w:rPr>
          <w:rFonts w:ascii="仿宋" w:hAnsi="仿宋" w:eastAsia="仿宋" w:cs="Times New Roman"/>
          <w:szCs w:val="21"/>
          <w:highlight w:val="none"/>
        </w:rPr>
      </w:pPr>
      <w:r>
        <w:rPr>
          <w:rFonts w:hint="eastAsia" w:ascii="仿宋" w:hAnsi="仿宋" w:eastAsia="仿宋" w:cs="Times New Roman"/>
          <w:szCs w:val="21"/>
          <w:highlight w:val="none"/>
          <w:lang w:val="en-US" w:eastAsia="zh-CN"/>
        </w:rPr>
        <w:t>4.</w:t>
      </w:r>
      <w:r>
        <w:rPr>
          <w:rFonts w:hint="eastAsia" w:ascii="仿宋" w:hAnsi="仿宋" w:eastAsia="仿宋" w:cs="Times New Roman"/>
          <w:szCs w:val="21"/>
          <w:highlight w:val="none"/>
        </w:rPr>
        <w:t>项目如有分包，请各谈判供应商按投报的分包分别列表。</w:t>
      </w:r>
    </w:p>
    <w:p w14:paraId="610BF758">
      <w:pPr>
        <w:rPr>
          <w:rFonts w:ascii="仿宋" w:hAnsi="仿宋" w:eastAsia="仿宋"/>
          <w:bCs/>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（三）中小企业声明函</w:t>
      </w:r>
    </w:p>
    <w:p w14:paraId="6C12FB85">
      <w:pPr>
        <w:jc w:val="center"/>
        <w:rPr>
          <w:rFonts w:ascii="方正小标宋简体" w:hAnsi="Calibri" w:eastAsia="方正小标宋简体" w:cs="Times New Roman"/>
          <w:sz w:val="44"/>
          <w:szCs w:val="44"/>
          <w:highlight w:val="none"/>
        </w:rPr>
      </w:pPr>
      <w:r>
        <w:rPr>
          <w:rFonts w:hint="eastAsia" w:ascii="方正小标宋简体" w:hAnsi="Calibri" w:eastAsia="方正小标宋简体" w:cs="Times New Roman"/>
          <w:sz w:val="44"/>
          <w:szCs w:val="44"/>
          <w:highlight w:val="none"/>
        </w:rPr>
        <w:t>中小企业声明函（货物）</w:t>
      </w:r>
    </w:p>
    <w:p w14:paraId="3E19F358">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本公司（联合体）郑重声明，根据《政府采购促进中小企业发展管理办法》（财库﹝2020﹞46 号）的规定，本公司（联合体）参加</w:t>
      </w:r>
      <w:r>
        <w:rPr>
          <w:rFonts w:hint="eastAsia" w:ascii="仿宋" w:hAnsi="仿宋" w:eastAsia="仿宋" w:cs="Times New Roman"/>
          <w:i w:val="0"/>
          <w:iCs/>
          <w:sz w:val="32"/>
          <w:szCs w:val="32"/>
          <w:highlight w:val="none"/>
          <w:u w:val="single"/>
          <w:lang w:eastAsia="zh-CN"/>
        </w:rPr>
        <w:t>如皋市高级技工学校</w:t>
      </w:r>
      <w:r>
        <w:rPr>
          <w:rFonts w:hint="eastAsia" w:ascii="仿宋" w:hAnsi="仿宋" w:eastAsia="仿宋" w:cs="Times New Roman"/>
          <w:i w:val="0"/>
          <w:iCs/>
          <w:sz w:val="32"/>
          <w:szCs w:val="32"/>
          <w:highlight w:val="none"/>
        </w:rPr>
        <w:t>的</w:t>
      </w:r>
      <w:r>
        <w:rPr>
          <w:rFonts w:hint="eastAsia" w:ascii="仿宋" w:hAnsi="仿宋" w:eastAsia="仿宋" w:cs="Times New Roman"/>
          <w:i w:val="0"/>
          <w:iCs/>
          <w:sz w:val="32"/>
          <w:szCs w:val="32"/>
          <w:highlight w:val="none"/>
          <w:u w:val="single"/>
          <w:lang w:eastAsia="zh-CN"/>
        </w:rPr>
        <w:t>如皋市高级技工学校钳工职业技能鉴定设备</w:t>
      </w:r>
      <w:r>
        <w:rPr>
          <w:rFonts w:hint="eastAsia" w:ascii="仿宋" w:hAnsi="仿宋" w:eastAsia="仿宋" w:cs="Times New Roman"/>
          <w:sz w:val="32"/>
          <w:szCs w:val="32"/>
          <w:highlight w:val="none"/>
        </w:rPr>
        <w:t>采购活动，提供的货物全部由符合政策要求的中小企业制造。相关企业（含联合体中的中小企业、签订分包意向协议的中小企业）的具体情况如下：</w:t>
      </w:r>
    </w:p>
    <w:p w14:paraId="7A9CFCD4">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1. </w:t>
      </w:r>
      <w:r>
        <w:rPr>
          <w:rFonts w:hint="eastAsia" w:ascii="仿宋" w:hAnsi="仿宋" w:eastAsia="仿宋" w:cs="Times New Roman"/>
          <w:i w:val="0"/>
          <w:iCs/>
          <w:sz w:val="32"/>
          <w:szCs w:val="32"/>
          <w:highlight w:val="none"/>
          <w:u w:val="single"/>
          <w:lang w:eastAsia="zh-CN"/>
        </w:rPr>
        <w:t>如皋市高级技工学校钳工职业技能鉴定设备</w:t>
      </w:r>
      <w:r>
        <w:rPr>
          <w:rFonts w:hint="eastAsia" w:ascii="仿宋" w:hAnsi="仿宋" w:eastAsia="仿宋" w:cs="Times New Roman"/>
          <w:sz w:val="32"/>
          <w:szCs w:val="32"/>
          <w:highlight w:val="none"/>
        </w:rPr>
        <w:t>，属于</w:t>
      </w:r>
      <w:r>
        <w:rPr>
          <w:rFonts w:hint="eastAsia" w:ascii="仿宋" w:hAnsi="仿宋" w:eastAsia="仿宋" w:cs="Times New Roman"/>
          <w:i w:val="0"/>
          <w:iCs/>
          <w:sz w:val="32"/>
          <w:szCs w:val="32"/>
          <w:highlight w:val="none"/>
          <w:u w:val="single"/>
          <w:lang w:val="en-US" w:eastAsia="zh-CN"/>
        </w:rPr>
        <w:t>工业</w:t>
      </w:r>
      <w:r>
        <w:rPr>
          <w:rFonts w:hint="eastAsia" w:ascii="仿宋" w:hAnsi="仿宋" w:eastAsia="仿宋" w:cs="Times New Roman"/>
          <w:i w:val="0"/>
          <w:iCs/>
          <w:sz w:val="32"/>
          <w:szCs w:val="32"/>
          <w:highlight w:val="none"/>
          <w:u w:val="single"/>
          <w:lang w:eastAsia="zh-CN"/>
        </w:rPr>
        <w:t>行业</w:t>
      </w:r>
      <w:r>
        <w:rPr>
          <w:rFonts w:hint="eastAsia" w:ascii="仿宋" w:hAnsi="仿宋" w:eastAsia="仿宋" w:cs="Times New Roman"/>
          <w:sz w:val="32"/>
          <w:szCs w:val="32"/>
          <w:highlight w:val="none"/>
        </w:rPr>
        <w:t xml:space="preserve">；制造商为 </w:t>
      </w:r>
      <w:r>
        <w:rPr>
          <w:rFonts w:hint="eastAsia" w:ascii="仿宋" w:hAnsi="仿宋" w:eastAsia="仿宋" w:cs="Times New Roman"/>
          <w:i/>
          <w:sz w:val="32"/>
          <w:szCs w:val="32"/>
          <w:highlight w:val="none"/>
          <w:u w:val="single"/>
        </w:rPr>
        <w:t>（企业名称）</w:t>
      </w:r>
      <w:r>
        <w:rPr>
          <w:rFonts w:hint="eastAsia" w:ascii="仿宋" w:hAnsi="仿宋" w:eastAsia="仿宋" w:cs="Times New Roman"/>
          <w:sz w:val="32"/>
          <w:szCs w:val="32"/>
          <w:highlight w:val="none"/>
        </w:rPr>
        <w:t xml:space="preserve"> ，从业人员人，营业收入为万元，资产总额为万元</w:t>
      </w:r>
      <w:r>
        <w:rPr>
          <w:rFonts w:hint="eastAsia" w:ascii="仿宋" w:hAnsi="仿宋" w:eastAsia="仿宋" w:cs="Times New Roman"/>
          <w:sz w:val="32"/>
          <w:szCs w:val="32"/>
          <w:highlight w:val="none"/>
          <w:vertAlign w:val="superscript"/>
        </w:rPr>
        <w:t>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w:t>
      </w:r>
    </w:p>
    <w:p w14:paraId="41692542">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2. </w:t>
      </w:r>
      <w:r>
        <w:rPr>
          <w:rFonts w:hint="eastAsia" w:ascii="仿宋" w:hAnsi="仿宋" w:eastAsia="仿宋" w:cs="Times New Roman"/>
          <w:i/>
          <w:sz w:val="32"/>
          <w:szCs w:val="32"/>
          <w:highlight w:val="none"/>
          <w:u w:val="single"/>
        </w:rPr>
        <w:t>（标的名称）</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（采购文件中明确的所属行业）行业</w:t>
      </w:r>
      <w:r>
        <w:rPr>
          <w:rFonts w:hint="eastAsia" w:ascii="仿宋" w:hAnsi="仿宋" w:eastAsia="仿宋" w:cs="Times New Roman"/>
          <w:sz w:val="32"/>
          <w:szCs w:val="32"/>
          <w:highlight w:val="none"/>
        </w:rPr>
        <w:t xml:space="preserve"> ；制造商为</w:t>
      </w:r>
      <w:r>
        <w:rPr>
          <w:rFonts w:hint="eastAsia" w:ascii="仿宋" w:hAnsi="仿宋" w:eastAsia="仿宋" w:cs="Times New Roman"/>
          <w:i/>
          <w:sz w:val="32"/>
          <w:szCs w:val="32"/>
          <w:highlight w:val="none"/>
          <w:u w:val="single"/>
        </w:rPr>
        <w:t xml:space="preserve"> （企业名称） </w:t>
      </w:r>
      <w:r>
        <w:rPr>
          <w:rFonts w:hint="eastAsia" w:ascii="仿宋" w:hAnsi="仿宋" w:eastAsia="仿宋" w:cs="Times New Roman"/>
          <w:sz w:val="32"/>
          <w:szCs w:val="32"/>
          <w:highlight w:val="none"/>
        </w:rPr>
        <w:t>，从业人员人，营业收入为万元，资产总额为万元，属于</w:t>
      </w:r>
      <w:r>
        <w:rPr>
          <w:rFonts w:hint="eastAsia" w:ascii="仿宋" w:hAnsi="仿宋" w:eastAsia="仿宋" w:cs="Times New Roman"/>
          <w:i/>
          <w:sz w:val="32"/>
          <w:szCs w:val="32"/>
          <w:highlight w:val="none"/>
          <w:u w:val="single"/>
        </w:rPr>
        <w:t xml:space="preserve"> （中型企业、小型企业、微型企业）</w:t>
      </w:r>
      <w:r>
        <w:rPr>
          <w:rFonts w:hint="eastAsia" w:ascii="仿宋" w:hAnsi="仿宋" w:eastAsia="仿宋" w:cs="Times New Roman"/>
          <w:sz w:val="32"/>
          <w:szCs w:val="32"/>
          <w:highlight w:val="none"/>
        </w:rPr>
        <w:t xml:space="preserve"> ；</w:t>
      </w:r>
    </w:p>
    <w:p w14:paraId="7F959CD8">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w:t>
      </w:r>
    </w:p>
    <w:p w14:paraId="2DB8DABB">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以上企业，不属于大企业的分支机构，不存在控股股东为大企业的情形，也不存在与大企业的负责人为同一人的情形。</w:t>
      </w:r>
    </w:p>
    <w:p w14:paraId="05F8106B">
      <w:pPr>
        <w:spacing w:line="500" w:lineRule="exact"/>
        <w:ind w:firstLine="640" w:firstLineChars="200"/>
        <w:rPr>
          <w:rFonts w:ascii="仿宋" w:hAnsi="仿宋" w:eastAsia="仿宋" w:cs="Times New Roman"/>
          <w:sz w:val="32"/>
          <w:szCs w:val="32"/>
          <w:highlight w:val="none"/>
        </w:rPr>
      </w:pPr>
      <w:r>
        <w:rPr>
          <w:rFonts w:hint="eastAsia" w:ascii="仿宋" w:hAnsi="仿宋" w:eastAsia="仿宋" w:cs="Times New Roman"/>
          <w:sz w:val="32"/>
          <w:szCs w:val="32"/>
          <w:highlight w:val="none"/>
        </w:rPr>
        <w:t>本企业对上述声明内容的真实性负责。如有虚假，将依法承担相应责任。</w:t>
      </w:r>
    </w:p>
    <w:p w14:paraId="6DE3FE32">
      <w:pPr>
        <w:spacing w:line="500" w:lineRule="exact"/>
        <w:ind w:right="640" w:firstLine="3401" w:firstLineChars="1063"/>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企业名称（盖章）：          </w:t>
      </w:r>
    </w:p>
    <w:p w14:paraId="0D3EF62F">
      <w:pPr>
        <w:spacing w:line="500" w:lineRule="exact"/>
        <w:ind w:right="640" w:firstLine="3401" w:firstLineChars="1063"/>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日 期：             </w:t>
      </w:r>
    </w:p>
    <w:p w14:paraId="173447EC">
      <w:pPr>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注1：从业人员、营业收入、资产总额填报上一年度数据，无上一年度数据的新成立企业可不填报。</w:t>
      </w:r>
    </w:p>
    <w:p w14:paraId="25E6F056">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r>
      <w:r>
        <w:rPr>
          <w:rFonts w:hint="eastAsia" w:ascii="仿宋" w:hAnsi="仿宋" w:eastAsia="仿宋"/>
          <w:bCs/>
          <w:sz w:val="28"/>
          <w:szCs w:val="28"/>
          <w:highlight w:val="none"/>
        </w:rPr>
        <w:t>（四）</w:t>
      </w:r>
      <w:r>
        <w:rPr>
          <w:rFonts w:hint="eastAsia" w:ascii="仿宋" w:hAnsi="仿宋" w:eastAsia="仿宋" w:cs="Arial"/>
          <w:sz w:val="28"/>
          <w:szCs w:val="28"/>
          <w:highlight w:val="none"/>
        </w:rPr>
        <w:t>残疾人福利性单位声明函</w:t>
      </w:r>
    </w:p>
    <w:p w14:paraId="566F4D03">
      <w:pPr>
        <w:spacing w:line="500" w:lineRule="exact"/>
        <w:rPr>
          <w:rFonts w:ascii="仿宋" w:hAnsi="仿宋" w:eastAsia="仿宋" w:cs="Arial"/>
          <w:sz w:val="28"/>
          <w:szCs w:val="28"/>
          <w:highlight w:val="none"/>
        </w:rPr>
      </w:pPr>
    </w:p>
    <w:p w14:paraId="6A773530">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残疾人福利性单位声明函</w:t>
      </w:r>
    </w:p>
    <w:p w14:paraId="292161E8">
      <w:pPr>
        <w:spacing w:line="500" w:lineRule="exact"/>
        <w:ind w:firstLine="560" w:firstLineChars="200"/>
        <w:rPr>
          <w:rFonts w:ascii="仿宋" w:hAnsi="仿宋" w:eastAsia="仿宋"/>
          <w:sz w:val="28"/>
          <w:szCs w:val="28"/>
          <w:highlight w:val="none"/>
        </w:rPr>
      </w:pPr>
    </w:p>
    <w:p w14:paraId="437AF1B3">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5E7A5D8D">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本单位在本次政府采购活动中提供的残疾人福利单位产品报价合计为人民币（大写）元整（￥：）。</w:t>
      </w:r>
    </w:p>
    <w:p w14:paraId="2A5958DE">
      <w:pPr>
        <w:spacing w:line="500" w:lineRule="exact"/>
        <w:ind w:firstLine="560" w:firstLineChars="200"/>
        <w:rPr>
          <w:rFonts w:ascii="仿宋" w:hAnsi="仿宋" w:eastAsia="仿宋"/>
          <w:sz w:val="28"/>
          <w:szCs w:val="28"/>
          <w:highlight w:val="none"/>
        </w:rPr>
      </w:pPr>
      <w:r>
        <w:rPr>
          <w:rFonts w:hint="eastAsia" w:ascii="仿宋" w:hAnsi="仿宋" w:eastAsia="仿宋"/>
          <w:sz w:val="28"/>
          <w:szCs w:val="28"/>
          <w:highlight w:val="none"/>
        </w:rPr>
        <w:t>本单位对上述声明的真实性负责。如有虚假，将依法承担相应责任。</w:t>
      </w:r>
    </w:p>
    <w:p w14:paraId="7DA6B808">
      <w:pPr>
        <w:spacing w:line="500" w:lineRule="exact"/>
        <w:ind w:firstLine="560" w:firstLineChars="200"/>
        <w:rPr>
          <w:rFonts w:ascii="仿宋" w:hAnsi="仿宋" w:eastAsia="仿宋"/>
          <w:sz w:val="28"/>
          <w:szCs w:val="28"/>
          <w:highlight w:val="none"/>
        </w:rPr>
      </w:pPr>
    </w:p>
    <w:p w14:paraId="4285C283">
      <w:pPr>
        <w:tabs>
          <w:tab w:val="left" w:pos="4860"/>
        </w:tabs>
        <w:spacing w:line="500" w:lineRule="exact"/>
        <w:ind w:right="1560"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 xml:space="preserve">                 供应商全称（盖章）：</w:t>
      </w:r>
    </w:p>
    <w:p w14:paraId="4E9B73E3">
      <w:pPr>
        <w:tabs>
          <w:tab w:val="left" w:pos="4860"/>
        </w:tabs>
        <w:spacing w:line="500" w:lineRule="exact"/>
        <w:ind w:right="1560" w:firstLine="560" w:firstLineChars="200"/>
        <w:jc w:val="center"/>
        <w:rPr>
          <w:rFonts w:ascii="仿宋" w:hAnsi="仿宋" w:eastAsia="仿宋"/>
          <w:sz w:val="28"/>
          <w:szCs w:val="28"/>
          <w:highlight w:val="none"/>
        </w:rPr>
      </w:pPr>
      <w:r>
        <w:rPr>
          <w:rFonts w:hint="eastAsia" w:ascii="仿宋" w:hAnsi="仿宋" w:eastAsia="仿宋"/>
          <w:sz w:val="28"/>
          <w:szCs w:val="28"/>
          <w:highlight w:val="none"/>
        </w:rPr>
        <w:t xml:space="preserve">                              日  期：</w:t>
      </w:r>
    </w:p>
    <w:p w14:paraId="01A7FDA5">
      <w:pPr>
        <w:spacing w:line="500" w:lineRule="exact"/>
        <w:ind w:firstLine="560" w:firstLineChars="200"/>
        <w:rPr>
          <w:rFonts w:ascii="仿宋" w:hAnsi="仿宋" w:eastAsia="仿宋"/>
          <w:sz w:val="28"/>
          <w:szCs w:val="28"/>
          <w:highlight w:val="none"/>
        </w:rPr>
      </w:pPr>
    </w:p>
    <w:p w14:paraId="1132C136">
      <w:pPr>
        <w:spacing w:line="500" w:lineRule="exact"/>
        <w:ind w:firstLine="560" w:firstLineChars="200"/>
        <w:rPr>
          <w:rFonts w:ascii="仿宋" w:hAnsi="仿宋" w:eastAsia="仿宋"/>
          <w:sz w:val="28"/>
          <w:szCs w:val="28"/>
          <w:highlight w:val="none"/>
        </w:rPr>
      </w:pPr>
    </w:p>
    <w:p w14:paraId="6BA7AE06">
      <w:pPr>
        <w:spacing w:line="500" w:lineRule="exact"/>
        <w:ind w:firstLine="562" w:firstLineChars="200"/>
        <w:rPr>
          <w:rFonts w:ascii="仿宋" w:hAnsi="仿宋" w:eastAsia="仿宋"/>
          <w:szCs w:val="21"/>
          <w:highlight w:val="none"/>
        </w:rPr>
      </w:pPr>
      <w:r>
        <w:rPr>
          <w:rFonts w:hint="eastAsia" w:ascii="仿宋" w:hAnsi="仿宋" w:eastAsia="仿宋"/>
          <w:b/>
          <w:sz w:val="28"/>
          <w:szCs w:val="28"/>
          <w:highlight w:val="none"/>
        </w:rPr>
        <w:t>注意： 成交供应商提供的《中小企业声明函》、《残疾人福利性单位声明函》将随成交结果同时公告，接受社会监督。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63F014D-EE84-4297-A5B0-553B7B85FFE6}"/>
  </w:font>
  <w:font w:name="黑体">
    <w:panose1 w:val="02010609060101010101"/>
    <w:charset w:val="86"/>
    <w:family w:val="auto"/>
    <w:pitch w:val="default"/>
    <w:sig w:usb0="800002BF" w:usb1="38CF7CFA" w:usb2="00000016" w:usb3="00000000" w:csb0="00040001" w:csb1="00000000"/>
    <w:embedRegular r:id="rId2" w:fontKey="{8CDE68B7-639D-4E17-969B-54940B4706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55CADE5C-A89F-4EE0-81F0-94A14B6365DD}"/>
  </w:font>
  <w:font w:name="仿宋_GB2312">
    <w:panose1 w:val="02010609030101010101"/>
    <w:charset w:val="86"/>
    <w:family w:val="modern"/>
    <w:pitch w:val="default"/>
    <w:sig w:usb0="00000001" w:usb1="080E0000" w:usb2="00000000" w:usb3="00000000" w:csb0="00040000" w:csb1="00000000"/>
    <w:embedRegular r:id="rId4" w:fontKey="{8D923C6A-0D26-4BB4-9228-E05C2532EB82}"/>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5" w:fontKey="{83273789-B4D4-4A7B-9E84-F2BCC6968C24}"/>
  </w:font>
  <w:font w:name="仿宋">
    <w:panose1 w:val="02010609060101010101"/>
    <w:charset w:val="86"/>
    <w:family w:val="modern"/>
    <w:pitch w:val="default"/>
    <w:sig w:usb0="800002BF" w:usb1="38CF7CFA" w:usb2="00000016" w:usb3="00000000" w:csb0="00040001" w:csb1="00000000"/>
    <w:embedRegular r:id="rId6" w:fontKey="{22A6A398-6C02-46B1-BB0C-58AE78F1EFA6}"/>
  </w:font>
  <w:font w:name="方正仿宋_GBK">
    <w:panose1 w:val="02000000000000000000"/>
    <w:charset w:val="86"/>
    <w:family w:val="auto"/>
    <w:pitch w:val="default"/>
    <w:sig w:usb0="A00002BF" w:usb1="38CF7CFA" w:usb2="00082016" w:usb3="00000000" w:csb0="00040001" w:csb1="00000000"/>
    <w:embedRegular r:id="rId7" w:fontKey="{604A3F98-B183-42C3-8BBD-8586581CE357}"/>
  </w:font>
  <w:font w:name="文鼎CS楷体">
    <w:panose1 w:val="02010609010101010101"/>
    <w:charset w:val="86"/>
    <w:family w:val="modern"/>
    <w:pitch w:val="default"/>
    <w:sig w:usb0="00000000" w:usb1="00000000" w:usb2="00000000" w:usb3="00000000" w:csb0="00000000" w:csb1="00000000"/>
    <w:embedRegular r:id="rId8" w:fontKey="{7FC33B5C-F202-4D8D-8F02-B0B5E57B811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C8D5F">
    <w:pPr>
      <w:pStyle w:val="14"/>
      <w:framePr w:wrap="around" w:vAnchor="text" w:hAnchor="margin" w:xAlign="center" w:y="1"/>
      <w:rPr>
        <w:rStyle w:val="22"/>
      </w:rPr>
    </w:pPr>
    <w:r>
      <w:fldChar w:fldCharType="begin"/>
    </w:r>
    <w:r>
      <w:rPr>
        <w:rStyle w:val="22"/>
      </w:rPr>
      <w:instrText xml:space="preserve">PAGE  </w:instrText>
    </w:r>
    <w:r>
      <w:fldChar w:fldCharType="separate"/>
    </w:r>
    <w:r>
      <w:rPr>
        <w:rStyle w:val="22"/>
      </w:rPr>
      <w:t>54</w:t>
    </w:r>
    <w:r>
      <w:fldChar w:fldCharType="end"/>
    </w:r>
  </w:p>
  <w:p w14:paraId="4C23D70A">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8C48F">
    <w:pPr>
      <w:pStyle w:val="14"/>
      <w:framePr w:wrap="around" w:vAnchor="text" w:hAnchor="margin" w:xAlign="center" w:y="1"/>
      <w:rPr>
        <w:rStyle w:val="22"/>
      </w:rPr>
    </w:pPr>
    <w:r>
      <w:fldChar w:fldCharType="begin"/>
    </w:r>
    <w:r>
      <w:rPr>
        <w:rStyle w:val="22"/>
      </w:rPr>
      <w:instrText xml:space="preserve">PAGE  </w:instrText>
    </w:r>
    <w:r>
      <w:fldChar w:fldCharType="end"/>
    </w:r>
  </w:p>
  <w:p w14:paraId="335F44B4">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7932">
    <w:pPr>
      <w:pStyle w:val="15"/>
    </w:pPr>
    <w:r>
      <w:rPr>
        <w:rFonts w:hint="eastAsia"/>
      </w:rPr>
      <w:t>如</w:t>
    </w:r>
    <w:r>
      <w:t>皋市政府采购</w:t>
    </w:r>
    <w:r>
      <w:rPr>
        <w:rFonts w:hint="eastAsia"/>
      </w:rPr>
      <w:t>竞争</w:t>
    </w:r>
    <w:r>
      <w:t>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FAA14"/>
    <w:multiLevelType w:val="singleLevel"/>
    <w:tmpl w:val="130FAA14"/>
    <w:lvl w:ilvl="0" w:tentative="0">
      <w:start w:val="1"/>
      <w:numFmt w:val="decimal"/>
      <w:suff w:val="nothing"/>
      <w:lvlText w:val="%1、"/>
      <w:lvlJc w:val="left"/>
    </w:lvl>
  </w:abstractNum>
  <w:abstractNum w:abstractNumId="1">
    <w:nsid w:val="36BB623D"/>
    <w:multiLevelType w:val="multilevel"/>
    <w:tmpl w:val="36BB623D"/>
    <w:lvl w:ilvl="0" w:tentative="0">
      <w:start w:val="1"/>
      <w:numFmt w:val="japaneseCounting"/>
      <w:lvlText w:val="%1、"/>
      <w:lvlJc w:val="left"/>
      <w:pPr>
        <w:tabs>
          <w:tab w:val="left" w:pos="1146"/>
        </w:tabs>
        <w:ind w:left="1146" w:hanging="720"/>
      </w:pPr>
      <w:rPr>
        <w:rFonts w:hint="eastAsia"/>
        <w:b/>
      </w:rPr>
    </w:lvl>
    <w:lvl w:ilvl="1" w:tentative="0">
      <w:start w:val="8"/>
      <w:numFmt w:val="japaneseCounting"/>
      <w:lvlText w:val="%2、"/>
      <w:lvlJc w:val="left"/>
      <w:pPr>
        <w:tabs>
          <w:tab w:val="left" w:pos="1532"/>
        </w:tabs>
        <w:ind w:left="1532" w:hanging="840"/>
      </w:pPr>
      <w:rPr>
        <w:rFonts w:hint="eastAsia"/>
      </w:rPr>
    </w:lvl>
    <w:lvl w:ilvl="2" w:tentative="0">
      <w:start w:val="1"/>
      <w:numFmt w:val="decimal"/>
      <w:lvlText w:val="%3、"/>
      <w:lvlJc w:val="left"/>
      <w:pPr>
        <w:tabs>
          <w:tab w:val="left" w:pos="1832"/>
        </w:tabs>
        <w:ind w:left="1832" w:hanging="720"/>
      </w:pPr>
      <w:rPr>
        <w:rFonts w:hint="eastAsia"/>
        <w:u w:val="none"/>
      </w:rPr>
    </w:lvl>
    <w:lvl w:ilvl="3" w:tentative="0">
      <w:start w:val="1"/>
      <w:numFmt w:val="decimal"/>
      <w:lvlText w:val="%4."/>
      <w:lvlJc w:val="left"/>
      <w:pPr>
        <w:tabs>
          <w:tab w:val="left" w:pos="1952"/>
        </w:tabs>
        <w:ind w:left="1952" w:hanging="420"/>
      </w:pPr>
    </w:lvl>
    <w:lvl w:ilvl="4" w:tentative="0">
      <w:start w:val="1"/>
      <w:numFmt w:val="lowerLetter"/>
      <w:lvlText w:val="%5)"/>
      <w:lvlJc w:val="left"/>
      <w:pPr>
        <w:tabs>
          <w:tab w:val="left" w:pos="2372"/>
        </w:tabs>
        <w:ind w:left="2372" w:hanging="420"/>
      </w:pPr>
    </w:lvl>
    <w:lvl w:ilvl="5" w:tentative="0">
      <w:start w:val="1"/>
      <w:numFmt w:val="lowerRoman"/>
      <w:lvlText w:val="%6."/>
      <w:lvlJc w:val="right"/>
      <w:pPr>
        <w:tabs>
          <w:tab w:val="left" w:pos="2792"/>
        </w:tabs>
        <w:ind w:left="2792" w:hanging="420"/>
      </w:pPr>
    </w:lvl>
    <w:lvl w:ilvl="6" w:tentative="0">
      <w:start w:val="1"/>
      <w:numFmt w:val="decimal"/>
      <w:lvlText w:val="%7."/>
      <w:lvlJc w:val="left"/>
      <w:pPr>
        <w:tabs>
          <w:tab w:val="left" w:pos="3212"/>
        </w:tabs>
        <w:ind w:left="3212" w:hanging="420"/>
      </w:pPr>
    </w:lvl>
    <w:lvl w:ilvl="7" w:tentative="0">
      <w:start w:val="1"/>
      <w:numFmt w:val="lowerLetter"/>
      <w:lvlText w:val="%8)"/>
      <w:lvlJc w:val="left"/>
      <w:pPr>
        <w:tabs>
          <w:tab w:val="left" w:pos="3632"/>
        </w:tabs>
        <w:ind w:left="3632" w:hanging="420"/>
      </w:pPr>
    </w:lvl>
    <w:lvl w:ilvl="8" w:tentative="0">
      <w:start w:val="1"/>
      <w:numFmt w:val="lowerRoman"/>
      <w:lvlText w:val="%9."/>
      <w:lvlJc w:val="right"/>
      <w:pPr>
        <w:tabs>
          <w:tab w:val="left" w:pos="4052"/>
        </w:tabs>
        <w:ind w:left="405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zYyMDlmZmY5MTg5OGNmODhlNDNmYWEwMjQzNDkifQ=="/>
  </w:docVars>
  <w:rsids>
    <w:rsidRoot w:val="00C8358F"/>
    <w:rsid w:val="00003D0F"/>
    <w:rsid w:val="00004047"/>
    <w:rsid w:val="00004EEE"/>
    <w:rsid w:val="000056BE"/>
    <w:rsid w:val="0000649A"/>
    <w:rsid w:val="000075E8"/>
    <w:rsid w:val="00007D0D"/>
    <w:rsid w:val="00007F6F"/>
    <w:rsid w:val="00010D73"/>
    <w:rsid w:val="00012515"/>
    <w:rsid w:val="000146E4"/>
    <w:rsid w:val="00017872"/>
    <w:rsid w:val="000224F2"/>
    <w:rsid w:val="00024B8A"/>
    <w:rsid w:val="00026B11"/>
    <w:rsid w:val="00027BB8"/>
    <w:rsid w:val="000302F1"/>
    <w:rsid w:val="00030326"/>
    <w:rsid w:val="00033AD2"/>
    <w:rsid w:val="00037DBC"/>
    <w:rsid w:val="000408D8"/>
    <w:rsid w:val="00043C24"/>
    <w:rsid w:val="00045758"/>
    <w:rsid w:val="0004600C"/>
    <w:rsid w:val="00046680"/>
    <w:rsid w:val="000467E8"/>
    <w:rsid w:val="00051A8F"/>
    <w:rsid w:val="000520C4"/>
    <w:rsid w:val="000521AA"/>
    <w:rsid w:val="0005552C"/>
    <w:rsid w:val="0006367C"/>
    <w:rsid w:val="000649E6"/>
    <w:rsid w:val="00064FB2"/>
    <w:rsid w:val="000650E9"/>
    <w:rsid w:val="00065B58"/>
    <w:rsid w:val="00065E0B"/>
    <w:rsid w:val="0007487C"/>
    <w:rsid w:val="00074F56"/>
    <w:rsid w:val="00076998"/>
    <w:rsid w:val="00077225"/>
    <w:rsid w:val="0008063C"/>
    <w:rsid w:val="00084764"/>
    <w:rsid w:val="00085315"/>
    <w:rsid w:val="00085405"/>
    <w:rsid w:val="00086F34"/>
    <w:rsid w:val="000871A8"/>
    <w:rsid w:val="00087229"/>
    <w:rsid w:val="000908B9"/>
    <w:rsid w:val="00095630"/>
    <w:rsid w:val="000957D2"/>
    <w:rsid w:val="000958FB"/>
    <w:rsid w:val="00095E4C"/>
    <w:rsid w:val="00096AD0"/>
    <w:rsid w:val="000970E2"/>
    <w:rsid w:val="00097375"/>
    <w:rsid w:val="000A04A8"/>
    <w:rsid w:val="000A16E3"/>
    <w:rsid w:val="000A2DB2"/>
    <w:rsid w:val="000A3128"/>
    <w:rsid w:val="000A3B6D"/>
    <w:rsid w:val="000A3C62"/>
    <w:rsid w:val="000A41F5"/>
    <w:rsid w:val="000A6601"/>
    <w:rsid w:val="000A720D"/>
    <w:rsid w:val="000A7870"/>
    <w:rsid w:val="000B0233"/>
    <w:rsid w:val="000B0986"/>
    <w:rsid w:val="000B0D4C"/>
    <w:rsid w:val="000B1A80"/>
    <w:rsid w:val="000B486C"/>
    <w:rsid w:val="000B49C4"/>
    <w:rsid w:val="000B551D"/>
    <w:rsid w:val="000B627B"/>
    <w:rsid w:val="000B62BF"/>
    <w:rsid w:val="000B65BC"/>
    <w:rsid w:val="000B666D"/>
    <w:rsid w:val="000B72C8"/>
    <w:rsid w:val="000B7662"/>
    <w:rsid w:val="000C000E"/>
    <w:rsid w:val="000C1489"/>
    <w:rsid w:val="000C3185"/>
    <w:rsid w:val="000C62A7"/>
    <w:rsid w:val="000D1DDB"/>
    <w:rsid w:val="000E08EF"/>
    <w:rsid w:val="000E10B3"/>
    <w:rsid w:val="000E55E7"/>
    <w:rsid w:val="000E7622"/>
    <w:rsid w:val="000E7DA3"/>
    <w:rsid w:val="000F450C"/>
    <w:rsid w:val="000F596B"/>
    <w:rsid w:val="000F695B"/>
    <w:rsid w:val="000F6C1F"/>
    <w:rsid w:val="000F6D86"/>
    <w:rsid w:val="000F7C94"/>
    <w:rsid w:val="000F7FA8"/>
    <w:rsid w:val="001000E4"/>
    <w:rsid w:val="00100830"/>
    <w:rsid w:val="0010140C"/>
    <w:rsid w:val="001041F0"/>
    <w:rsid w:val="00105A76"/>
    <w:rsid w:val="00105AD1"/>
    <w:rsid w:val="001064C9"/>
    <w:rsid w:val="0010677C"/>
    <w:rsid w:val="001100C9"/>
    <w:rsid w:val="00110E30"/>
    <w:rsid w:val="00111314"/>
    <w:rsid w:val="0011345C"/>
    <w:rsid w:val="00113A63"/>
    <w:rsid w:val="00114B25"/>
    <w:rsid w:val="00114F40"/>
    <w:rsid w:val="00115D57"/>
    <w:rsid w:val="00117BC2"/>
    <w:rsid w:val="00124306"/>
    <w:rsid w:val="00126D12"/>
    <w:rsid w:val="00127240"/>
    <w:rsid w:val="00127629"/>
    <w:rsid w:val="0013182C"/>
    <w:rsid w:val="00132EDE"/>
    <w:rsid w:val="001334A5"/>
    <w:rsid w:val="00133659"/>
    <w:rsid w:val="0013368E"/>
    <w:rsid w:val="00133D14"/>
    <w:rsid w:val="001345E5"/>
    <w:rsid w:val="001349F1"/>
    <w:rsid w:val="001419AB"/>
    <w:rsid w:val="00145860"/>
    <w:rsid w:val="00147DA4"/>
    <w:rsid w:val="0015239E"/>
    <w:rsid w:val="00153255"/>
    <w:rsid w:val="00155DF2"/>
    <w:rsid w:val="00156777"/>
    <w:rsid w:val="00161510"/>
    <w:rsid w:val="00162EED"/>
    <w:rsid w:val="00163BF8"/>
    <w:rsid w:val="001644AF"/>
    <w:rsid w:val="001649F7"/>
    <w:rsid w:val="00165914"/>
    <w:rsid w:val="00167929"/>
    <w:rsid w:val="001705C6"/>
    <w:rsid w:val="001712E4"/>
    <w:rsid w:val="001740E6"/>
    <w:rsid w:val="00180295"/>
    <w:rsid w:val="00180865"/>
    <w:rsid w:val="001812CA"/>
    <w:rsid w:val="00181918"/>
    <w:rsid w:val="001842CF"/>
    <w:rsid w:val="0018443E"/>
    <w:rsid w:val="0019026D"/>
    <w:rsid w:val="00191574"/>
    <w:rsid w:val="001917E5"/>
    <w:rsid w:val="00194D5C"/>
    <w:rsid w:val="001A0FCD"/>
    <w:rsid w:val="001A122F"/>
    <w:rsid w:val="001A4D58"/>
    <w:rsid w:val="001A5BBD"/>
    <w:rsid w:val="001A5E89"/>
    <w:rsid w:val="001A612C"/>
    <w:rsid w:val="001A6BB5"/>
    <w:rsid w:val="001A73A2"/>
    <w:rsid w:val="001A7C78"/>
    <w:rsid w:val="001B00E4"/>
    <w:rsid w:val="001B00EC"/>
    <w:rsid w:val="001B090C"/>
    <w:rsid w:val="001B0AF2"/>
    <w:rsid w:val="001B1841"/>
    <w:rsid w:val="001B2814"/>
    <w:rsid w:val="001B4726"/>
    <w:rsid w:val="001B4841"/>
    <w:rsid w:val="001B4D60"/>
    <w:rsid w:val="001B729E"/>
    <w:rsid w:val="001C01F6"/>
    <w:rsid w:val="001C281A"/>
    <w:rsid w:val="001C3F69"/>
    <w:rsid w:val="001C4969"/>
    <w:rsid w:val="001C5507"/>
    <w:rsid w:val="001C5F46"/>
    <w:rsid w:val="001D2D19"/>
    <w:rsid w:val="001D3753"/>
    <w:rsid w:val="001D42B3"/>
    <w:rsid w:val="001D6A95"/>
    <w:rsid w:val="001D73F3"/>
    <w:rsid w:val="001D7FC6"/>
    <w:rsid w:val="001E2B14"/>
    <w:rsid w:val="001E35A1"/>
    <w:rsid w:val="001E4CA5"/>
    <w:rsid w:val="001F24A9"/>
    <w:rsid w:val="001F2B35"/>
    <w:rsid w:val="001F2FC2"/>
    <w:rsid w:val="001F6197"/>
    <w:rsid w:val="001F672D"/>
    <w:rsid w:val="001F6A0B"/>
    <w:rsid w:val="001F6DC3"/>
    <w:rsid w:val="001F78B2"/>
    <w:rsid w:val="001F7ED8"/>
    <w:rsid w:val="00201593"/>
    <w:rsid w:val="00202637"/>
    <w:rsid w:val="00202F3E"/>
    <w:rsid w:val="00204FF8"/>
    <w:rsid w:val="00206D9D"/>
    <w:rsid w:val="0020708E"/>
    <w:rsid w:val="00210A81"/>
    <w:rsid w:val="002120E9"/>
    <w:rsid w:val="00214D2E"/>
    <w:rsid w:val="00217A36"/>
    <w:rsid w:val="00222308"/>
    <w:rsid w:val="00223FE8"/>
    <w:rsid w:val="002248EF"/>
    <w:rsid w:val="00226BC6"/>
    <w:rsid w:val="00230887"/>
    <w:rsid w:val="002341A3"/>
    <w:rsid w:val="00234AA1"/>
    <w:rsid w:val="00234FAA"/>
    <w:rsid w:val="00236047"/>
    <w:rsid w:val="002368D0"/>
    <w:rsid w:val="00241D07"/>
    <w:rsid w:val="00242069"/>
    <w:rsid w:val="00242BDE"/>
    <w:rsid w:val="00245739"/>
    <w:rsid w:val="00245AD7"/>
    <w:rsid w:val="00247B44"/>
    <w:rsid w:val="00250F9F"/>
    <w:rsid w:val="002512E6"/>
    <w:rsid w:val="00252AAE"/>
    <w:rsid w:val="002533FB"/>
    <w:rsid w:val="00255ED0"/>
    <w:rsid w:val="0025739E"/>
    <w:rsid w:val="00262C71"/>
    <w:rsid w:val="00263E7B"/>
    <w:rsid w:val="00266AA3"/>
    <w:rsid w:val="00270D89"/>
    <w:rsid w:val="00271AF8"/>
    <w:rsid w:val="002721FF"/>
    <w:rsid w:val="002748FD"/>
    <w:rsid w:val="00275E72"/>
    <w:rsid w:val="00276B7A"/>
    <w:rsid w:val="00281501"/>
    <w:rsid w:val="00282304"/>
    <w:rsid w:val="00283F31"/>
    <w:rsid w:val="0028486A"/>
    <w:rsid w:val="00284C01"/>
    <w:rsid w:val="00285B89"/>
    <w:rsid w:val="00286DC8"/>
    <w:rsid w:val="00287690"/>
    <w:rsid w:val="00287BAF"/>
    <w:rsid w:val="00290BD1"/>
    <w:rsid w:val="002928D6"/>
    <w:rsid w:val="002967B2"/>
    <w:rsid w:val="002A111D"/>
    <w:rsid w:val="002A2392"/>
    <w:rsid w:val="002A4511"/>
    <w:rsid w:val="002A47A2"/>
    <w:rsid w:val="002A7835"/>
    <w:rsid w:val="002A7DA5"/>
    <w:rsid w:val="002B0F3D"/>
    <w:rsid w:val="002B1D62"/>
    <w:rsid w:val="002B2DEC"/>
    <w:rsid w:val="002B37B5"/>
    <w:rsid w:val="002B3941"/>
    <w:rsid w:val="002B406D"/>
    <w:rsid w:val="002B505E"/>
    <w:rsid w:val="002B6ED5"/>
    <w:rsid w:val="002B7F98"/>
    <w:rsid w:val="002C1C9F"/>
    <w:rsid w:val="002C223A"/>
    <w:rsid w:val="002C327B"/>
    <w:rsid w:val="002C4617"/>
    <w:rsid w:val="002C4CD8"/>
    <w:rsid w:val="002C6149"/>
    <w:rsid w:val="002D0A56"/>
    <w:rsid w:val="002D0BC3"/>
    <w:rsid w:val="002D2CEA"/>
    <w:rsid w:val="002D3156"/>
    <w:rsid w:val="002E38B2"/>
    <w:rsid w:val="002F04FD"/>
    <w:rsid w:val="002F1A79"/>
    <w:rsid w:val="002F2AC6"/>
    <w:rsid w:val="002F3F72"/>
    <w:rsid w:val="002F5C27"/>
    <w:rsid w:val="00300644"/>
    <w:rsid w:val="003015DA"/>
    <w:rsid w:val="003029DE"/>
    <w:rsid w:val="00303347"/>
    <w:rsid w:val="0030399E"/>
    <w:rsid w:val="003048FD"/>
    <w:rsid w:val="003068B2"/>
    <w:rsid w:val="00307127"/>
    <w:rsid w:val="00311048"/>
    <w:rsid w:val="00313F9C"/>
    <w:rsid w:val="003149B4"/>
    <w:rsid w:val="00315EFE"/>
    <w:rsid w:val="003210C3"/>
    <w:rsid w:val="003248D7"/>
    <w:rsid w:val="003250B4"/>
    <w:rsid w:val="00325A77"/>
    <w:rsid w:val="0033046A"/>
    <w:rsid w:val="003311AC"/>
    <w:rsid w:val="0033131E"/>
    <w:rsid w:val="003318D5"/>
    <w:rsid w:val="003338C9"/>
    <w:rsid w:val="00333B0E"/>
    <w:rsid w:val="003362A6"/>
    <w:rsid w:val="003363D5"/>
    <w:rsid w:val="00337283"/>
    <w:rsid w:val="00337736"/>
    <w:rsid w:val="00343298"/>
    <w:rsid w:val="0034458A"/>
    <w:rsid w:val="00345375"/>
    <w:rsid w:val="00345CF9"/>
    <w:rsid w:val="0034773F"/>
    <w:rsid w:val="003516AA"/>
    <w:rsid w:val="00353806"/>
    <w:rsid w:val="00354E1A"/>
    <w:rsid w:val="00357832"/>
    <w:rsid w:val="003612FE"/>
    <w:rsid w:val="00362041"/>
    <w:rsid w:val="003621BB"/>
    <w:rsid w:val="00362D37"/>
    <w:rsid w:val="00363534"/>
    <w:rsid w:val="003636A7"/>
    <w:rsid w:val="0036607A"/>
    <w:rsid w:val="00366540"/>
    <w:rsid w:val="00366D25"/>
    <w:rsid w:val="003672FB"/>
    <w:rsid w:val="003674D2"/>
    <w:rsid w:val="00371196"/>
    <w:rsid w:val="003721CA"/>
    <w:rsid w:val="00373BBF"/>
    <w:rsid w:val="00375083"/>
    <w:rsid w:val="00375719"/>
    <w:rsid w:val="00375FDC"/>
    <w:rsid w:val="00382426"/>
    <w:rsid w:val="00385F5D"/>
    <w:rsid w:val="00385FF6"/>
    <w:rsid w:val="003867BC"/>
    <w:rsid w:val="0039188A"/>
    <w:rsid w:val="00392FB7"/>
    <w:rsid w:val="00393C8E"/>
    <w:rsid w:val="00394338"/>
    <w:rsid w:val="003944F5"/>
    <w:rsid w:val="003A2953"/>
    <w:rsid w:val="003A31B3"/>
    <w:rsid w:val="003A34C0"/>
    <w:rsid w:val="003A4699"/>
    <w:rsid w:val="003A46C4"/>
    <w:rsid w:val="003A4FE6"/>
    <w:rsid w:val="003A5E0F"/>
    <w:rsid w:val="003A6468"/>
    <w:rsid w:val="003A6FB7"/>
    <w:rsid w:val="003A71FF"/>
    <w:rsid w:val="003A72D7"/>
    <w:rsid w:val="003B16A7"/>
    <w:rsid w:val="003B5884"/>
    <w:rsid w:val="003B6794"/>
    <w:rsid w:val="003C0F69"/>
    <w:rsid w:val="003C6B90"/>
    <w:rsid w:val="003D3723"/>
    <w:rsid w:val="003D3A49"/>
    <w:rsid w:val="003D3E54"/>
    <w:rsid w:val="003D3ECE"/>
    <w:rsid w:val="003D4183"/>
    <w:rsid w:val="003D4E38"/>
    <w:rsid w:val="003D5508"/>
    <w:rsid w:val="003D68A7"/>
    <w:rsid w:val="003D696E"/>
    <w:rsid w:val="003D77F0"/>
    <w:rsid w:val="003E0928"/>
    <w:rsid w:val="003E25B4"/>
    <w:rsid w:val="003E3F16"/>
    <w:rsid w:val="003E41B3"/>
    <w:rsid w:val="003F09BB"/>
    <w:rsid w:val="003F1B7F"/>
    <w:rsid w:val="003F2D2B"/>
    <w:rsid w:val="003F31F1"/>
    <w:rsid w:val="003F40A5"/>
    <w:rsid w:val="003F4825"/>
    <w:rsid w:val="003F6497"/>
    <w:rsid w:val="00401FCA"/>
    <w:rsid w:val="004064FC"/>
    <w:rsid w:val="004078AB"/>
    <w:rsid w:val="00410A9D"/>
    <w:rsid w:val="00410B14"/>
    <w:rsid w:val="00410C7F"/>
    <w:rsid w:val="00411081"/>
    <w:rsid w:val="00414442"/>
    <w:rsid w:val="004155F4"/>
    <w:rsid w:val="00415A48"/>
    <w:rsid w:val="00415D3C"/>
    <w:rsid w:val="00415EED"/>
    <w:rsid w:val="00416948"/>
    <w:rsid w:val="00417502"/>
    <w:rsid w:val="0042098E"/>
    <w:rsid w:val="00422129"/>
    <w:rsid w:val="00422321"/>
    <w:rsid w:val="00422CC9"/>
    <w:rsid w:val="004232C7"/>
    <w:rsid w:val="00423455"/>
    <w:rsid w:val="004234C5"/>
    <w:rsid w:val="00424021"/>
    <w:rsid w:val="00424A4D"/>
    <w:rsid w:val="00425C81"/>
    <w:rsid w:val="0042609E"/>
    <w:rsid w:val="004264E0"/>
    <w:rsid w:val="00427191"/>
    <w:rsid w:val="0043055C"/>
    <w:rsid w:val="00431F51"/>
    <w:rsid w:val="00433126"/>
    <w:rsid w:val="004340C3"/>
    <w:rsid w:val="00434289"/>
    <w:rsid w:val="00441291"/>
    <w:rsid w:val="00442326"/>
    <w:rsid w:val="00442D98"/>
    <w:rsid w:val="004436C8"/>
    <w:rsid w:val="00443B43"/>
    <w:rsid w:val="00445047"/>
    <w:rsid w:val="0044567F"/>
    <w:rsid w:val="00450BF1"/>
    <w:rsid w:val="00454777"/>
    <w:rsid w:val="0045479C"/>
    <w:rsid w:val="0045540A"/>
    <w:rsid w:val="004554A4"/>
    <w:rsid w:val="00456385"/>
    <w:rsid w:val="004565E7"/>
    <w:rsid w:val="00457182"/>
    <w:rsid w:val="00457587"/>
    <w:rsid w:val="004606EC"/>
    <w:rsid w:val="00460884"/>
    <w:rsid w:val="004631D0"/>
    <w:rsid w:val="004641C3"/>
    <w:rsid w:val="00466E69"/>
    <w:rsid w:val="0046782D"/>
    <w:rsid w:val="00470ABA"/>
    <w:rsid w:val="00472FCB"/>
    <w:rsid w:val="0047370E"/>
    <w:rsid w:val="00473D0C"/>
    <w:rsid w:val="00477522"/>
    <w:rsid w:val="00477EB5"/>
    <w:rsid w:val="00480C42"/>
    <w:rsid w:val="00481CFB"/>
    <w:rsid w:val="00486085"/>
    <w:rsid w:val="004870A9"/>
    <w:rsid w:val="004873AA"/>
    <w:rsid w:val="00487FB2"/>
    <w:rsid w:val="00490F01"/>
    <w:rsid w:val="0049296A"/>
    <w:rsid w:val="00494667"/>
    <w:rsid w:val="004956DA"/>
    <w:rsid w:val="00495738"/>
    <w:rsid w:val="004961F1"/>
    <w:rsid w:val="00496680"/>
    <w:rsid w:val="00497431"/>
    <w:rsid w:val="004A3EF2"/>
    <w:rsid w:val="004A6D5B"/>
    <w:rsid w:val="004A7FCA"/>
    <w:rsid w:val="004B218B"/>
    <w:rsid w:val="004B4C91"/>
    <w:rsid w:val="004B6815"/>
    <w:rsid w:val="004B6918"/>
    <w:rsid w:val="004C138F"/>
    <w:rsid w:val="004C345A"/>
    <w:rsid w:val="004C3971"/>
    <w:rsid w:val="004C4207"/>
    <w:rsid w:val="004C4437"/>
    <w:rsid w:val="004C472C"/>
    <w:rsid w:val="004C6200"/>
    <w:rsid w:val="004C7416"/>
    <w:rsid w:val="004D1FE1"/>
    <w:rsid w:val="004D4FD7"/>
    <w:rsid w:val="004D6C03"/>
    <w:rsid w:val="004E1D13"/>
    <w:rsid w:val="004E32BA"/>
    <w:rsid w:val="004E34A9"/>
    <w:rsid w:val="004E397C"/>
    <w:rsid w:val="004E4141"/>
    <w:rsid w:val="004E4771"/>
    <w:rsid w:val="004E576D"/>
    <w:rsid w:val="004E72B4"/>
    <w:rsid w:val="004E7C51"/>
    <w:rsid w:val="004F08E5"/>
    <w:rsid w:val="004F409F"/>
    <w:rsid w:val="004F5731"/>
    <w:rsid w:val="005007D1"/>
    <w:rsid w:val="00504C4C"/>
    <w:rsid w:val="00505586"/>
    <w:rsid w:val="0050766C"/>
    <w:rsid w:val="00507772"/>
    <w:rsid w:val="005107D4"/>
    <w:rsid w:val="005109F1"/>
    <w:rsid w:val="00511862"/>
    <w:rsid w:val="00513AD1"/>
    <w:rsid w:val="00514DB0"/>
    <w:rsid w:val="005159D7"/>
    <w:rsid w:val="00520885"/>
    <w:rsid w:val="005217C8"/>
    <w:rsid w:val="005256B1"/>
    <w:rsid w:val="00525D82"/>
    <w:rsid w:val="0052633A"/>
    <w:rsid w:val="00527A3C"/>
    <w:rsid w:val="00527B03"/>
    <w:rsid w:val="0053122C"/>
    <w:rsid w:val="00531DDD"/>
    <w:rsid w:val="00535858"/>
    <w:rsid w:val="005360D8"/>
    <w:rsid w:val="0053612C"/>
    <w:rsid w:val="005404D6"/>
    <w:rsid w:val="00540533"/>
    <w:rsid w:val="00540FA8"/>
    <w:rsid w:val="005444CA"/>
    <w:rsid w:val="00544847"/>
    <w:rsid w:val="00552C0D"/>
    <w:rsid w:val="00557981"/>
    <w:rsid w:val="00561B47"/>
    <w:rsid w:val="00562862"/>
    <w:rsid w:val="00567203"/>
    <w:rsid w:val="005735C6"/>
    <w:rsid w:val="00573A38"/>
    <w:rsid w:val="00576F6E"/>
    <w:rsid w:val="00577F52"/>
    <w:rsid w:val="0058020A"/>
    <w:rsid w:val="0058140C"/>
    <w:rsid w:val="00582345"/>
    <w:rsid w:val="00583328"/>
    <w:rsid w:val="00584332"/>
    <w:rsid w:val="00585FBE"/>
    <w:rsid w:val="005864C5"/>
    <w:rsid w:val="00586512"/>
    <w:rsid w:val="005937AA"/>
    <w:rsid w:val="00593C81"/>
    <w:rsid w:val="005965B5"/>
    <w:rsid w:val="005968E5"/>
    <w:rsid w:val="00597A44"/>
    <w:rsid w:val="005A045E"/>
    <w:rsid w:val="005A2282"/>
    <w:rsid w:val="005A2C5C"/>
    <w:rsid w:val="005A2D04"/>
    <w:rsid w:val="005A34CD"/>
    <w:rsid w:val="005A355B"/>
    <w:rsid w:val="005A4A9D"/>
    <w:rsid w:val="005A5551"/>
    <w:rsid w:val="005A7F3B"/>
    <w:rsid w:val="005B0A48"/>
    <w:rsid w:val="005B163A"/>
    <w:rsid w:val="005B1CC5"/>
    <w:rsid w:val="005B1E67"/>
    <w:rsid w:val="005B3389"/>
    <w:rsid w:val="005B41B7"/>
    <w:rsid w:val="005B5547"/>
    <w:rsid w:val="005B6501"/>
    <w:rsid w:val="005B6CBD"/>
    <w:rsid w:val="005B6D90"/>
    <w:rsid w:val="005C3FA1"/>
    <w:rsid w:val="005C45AF"/>
    <w:rsid w:val="005C5D19"/>
    <w:rsid w:val="005C65BF"/>
    <w:rsid w:val="005C6A8F"/>
    <w:rsid w:val="005C6D22"/>
    <w:rsid w:val="005C7390"/>
    <w:rsid w:val="005D0832"/>
    <w:rsid w:val="005D0F8C"/>
    <w:rsid w:val="005D1A07"/>
    <w:rsid w:val="005D1EBA"/>
    <w:rsid w:val="005D2FD5"/>
    <w:rsid w:val="005D6824"/>
    <w:rsid w:val="005D6E97"/>
    <w:rsid w:val="005E1B49"/>
    <w:rsid w:val="005E2A24"/>
    <w:rsid w:val="005E6266"/>
    <w:rsid w:val="005E68DA"/>
    <w:rsid w:val="005E71B2"/>
    <w:rsid w:val="005F1E92"/>
    <w:rsid w:val="005F2D94"/>
    <w:rsid w:val="005F3CE9"/>
    <w:rsid w:val="005F5AC5"/>
    <w:rsid w:val="005F6C63"/>
    <w:rsid w:val="00600863"/>
    <w:rsid w:val="00603774"/>
    <w:rsid w:val="006039C3"/>
    <w:rsid w:val="00604A0E"/>
    <w:rsid w:val="00604CF7"/>
    <w:rsid w:val="00605CF1"/>
    <w:rsid w:val="0060742A"/>
    <w:rsid w:val="006077E3"/>
    <w:rsid w:val="0061030A"/>
    <w:rsid w:val="006163F8"/>
    <w:rsid w:val="00620CEA"/>
    <w:rsid w:val="00621656"/>
    <w:rsid w:val="006238A4"/>
    <w:rsid w:val="00625485"/>
    <w:rsid w:val="00625842"/>
    <w:rsid w:val="0062644F"/>
    <w:rsid w:val="00626F31"/>
    <w:rsid w:val="00630D78"/>
    <w:rsid w:val="00633158"/>
    <w:rsid w:val="00633CDA"/>
    <w:rsid w:val="00635B08"/>
    <w:rsid w:val="00635FB6"/>
    <w:rsid w:val="0063693F"/>
    <w:rsid w:val="00637CE5"/>
    <w:rsid w:val="00643BC1"/>
    <w:rsid w:val="0064785F"/>
    <w:rsid w:val="006521CF"/>
    <w:rsid w:val="006521FB"/>
    <w:rsid w:val="00653655"/>
    <w:rsid w:val="0065467A"/>
    <w:rsid w:val="0065589C"/>
    <w:rsid w:val="006565A9"/>
    <w:rsid w:val="00656A41"/>
    <w:rsid w:val="00656DCB"/>
    <w:rsid w:val="00661251"/>
    <w:rsid w:val="0066144A"/>
    <w:rsid w:val="00661AE6"/>
    <w:rsid w:val="006631D6"/>
    <w:rsid w:val="00663737"/>
    <w:rsid w:val="0066525D"/>
    <w:rsid w:val="006666DB"/>
    <w:rsid w:val="00666C45"/>
    <w:rsid w:val="0067146B"/>
    <w:rsid w:val="00673A14"/>
    <w:rsid w:val="00673EEA"/>
    <w:rsid w:val="0067569A"/>
    <w:rsid w:val="006756F7"/>
    <w:rsid w:val="00676B2F"/>
    <w:rsid w:val="00676C31"/>
    <w:rsid w:val="00680007"/>
    <w:rsid w:val="006832CD"/>
    <w:rsid w:val="00685128"/>
    <w:rsid w:val="00685974"/>
    <w:rsid w:val="00686A20"/>
    <w:rsid w:val="00687C76"/>
    <w:rsid w:val="00687F65"/>
    <w:rsid w:val="00690669"/>
    <w:rsid w:val="00692E0F"/>
    <w:rsid w:val="00693828"/>
    <w:rsid w:val="00694E56"/>
    <w:rsid w:val="00697286"/>
    <w:rsid w:val="006A0C8C"/>
    <w:rsid w:val="006A1B4A"/>
    <w:rsid w:val="006A45A2"/>
    <w:rsid w:val="006A479D"/>
    <w:rsid w:val="006A5DD7"/>
    <w:rsid w:val="006A7341"/>
    <w:rsid w:val="006B1982"/>
    <w:rsid w:val="006B57D6"/>
    <w:rsid w:val="006C7682"/>
    <w:rsid w:val="006D2D87"/>
    <w:rsid w:val="006D6C77"/>
    <w:rsid w:val="006D6FED"/>
    <w:rsid w:val="006E37C2"/>
    <w:rsid w:val="006E41D2"/>
    <w:rsid w:val="006E46D7"/>
    <w:rsid w:val="006E4AC8"/>
    <w:rsid w:val="006E505D"/>
    <w:rsid w:val="006F1F3A"/>
    <w:rsid w:val="006F206F"/>
    <w:rsid w:val="006F269B"/>
    <w:rsid w:val="006F4B62"/>
    <w:rsid w:val="006F53FC"/>
    <w:rsid w:val="0070025C"/>
    <w:rsid w:val="00701A5B"/>
    <w:rsid w:val="007022A3"/>
    <w:rsid w:val="007039B8"/>
    <w:rsid w:val="00704166"/>
    <w:rsid w:val="00704458"/>
    <w:rsid w:val="00706D61"/>
    <w:rsid w:val="00707147"/>
    <w:rsid w:val="00707764"/>
    <w:rsid w:val="00710B1A"/>
    <w:rsid w:val="00711996"/>
    <w:rsid w:val="00714A08"/>
    <w:rsid w:val="00715048"/>
    <w:rsid w:val="007156B9"/>
    <w:rsid w:val="007164C0"/>
    <w:rsid w:val="00722672"/>
    <w:rsid w:val="00722C39"/>
    <w:rsid w:val="00723763"/>
    <w:rsid w:val="00725378"/>
    <w:rsid w:val="007254CE"/>
    <w:rsid w:val="00726F91"/>
    <w:rsid w:val="00730296"/>
    <w:rsid w:val="007309A7"/>
    <w:rsid w:val="00731C2D"/>
    <w:rsid w:val="007406E3"/>
    <w:rsid w:val="007460E4"/>
    <w:rsid w:val="007469CD"/>
    <w:rsid w:val="00747873"/>
    <w:rsid w:val="00747F59"/>
    <w:rsid w:val="0075175B"/>
    <w:rsid w:val="00753CB1"/>
    <w:rsid w:val="0075569A"/>
    <w:rsid w:val="00761BCB"/>
    <w:rsid w:val="00762E34"/>
    <w:rsid w:val="007631D4"/>
    <w:rsid w:val="00763833"/>
    <w:rsid w:val="00767ECE"/>
    <w:rsid w:val="007709E6"/>
    <w:rsid w:val="00770A02"/>
    <w:rsid w:val="00771932"/>
    <w:rsid w:val="00771935"/>
    <w:rsid w:val="00772EF3"/>
    <w:rsid w:val="00775011"/>
    <w:rsid w:val="00776BD2"/>
    <w:rsid w:val="007771B5"/>
    <w:rsid w:val="00780DFE"/>
    <w:rsid w:val="00780FA3"/>
    <w:rsid w:val="00783DCC"/>
    <w:rsid w:val="007855C1"/>
    <w:rsid w:val="00786474"/>
    <w:rsid w:val="00786944"/>
    <w:rsid w:val="007900CC"/>
    <w:rsid w:val="00791FD3"/>
    <w:rsid w:val="00792375"/>
    <w:rsid w:val="0079314E"/>
    <w:rsid w:val="00793F9D"/>
    <w:rsid w:val="007948B7"/>
    <w:rsid w:val="00794CCA"/>
    <w:rsid w:val="007951E0"/>
    <w:rsid w:val="00795865"/>
    <w:rsid w:val="007959FE"/>
    <w:rsid w:val="00797A10"/>
    <w:rsid w:val="007A0944"/>
    <w:rsid w:val="007A13FA"/>
    <w:rsid w:val="007A1F3D"/>
    <w:rsid w:val="007A2DA5"/>
    <w:rsid w:val="007A45E6"/>
    <w:rsid w:val="007A4C07"/>
    <w:rsid w:val="007A4D7A"/>
    <w:rsid w:val="007B2A53"/>
    <w:rsid w:val="007B34A8"/>
    <w:rsid w:val="007B37F0"/>
    <w:rsid w:val="007B677B"/>
    <w:rsid w:val="007B6EF9"/>
    <w:rsid w:val="007C0C96"/>
    <w:rsid w:val="007C2F32"/>
    <w:rsid w:val="007C3699"/>
    <w:rsid w:val="007C4867"/>
    <w:rsid w:val="007C75A3"/>
    <w:rsid w:val="007C7E20"/>
    <w:rsid w:val="007D188B"/>
    <w:rsid w:val="007D1BBC"/>
    <w:rsid w:val="007D1DD6"/>
    <w:rsid w:val="007D6C62"/>
    <w:rsid w:val="007D7955"/>
    <w:rsid w:val="007D7B0E"/>
    <w:rsid w:val="007E00FB"/>
    <w:rsid w:val="007E0298"/>
    <w:rsid w:val="007E0C9D"/>
    <w:rsid w:val="007E0E74"/>
    <w:rsid w:val="007E17B8"/>
    <w:rsid w:val="007E5C67"/>
    <w:rsid w:val="007E5EB8"/>
    <w:rsid w:val="007E7C48"/>
    <w:rsid w:val="007F1CAC"/>
    <w:rsid w:val="007F58EE"/>
    <w:rsid w:val="00800CD2"/>
    <w:rsid w:val="0080691D"/>
    <w:rsid w:val="0081032B"/>
    <w:rsid w:val="00810ACD"/>
    <w:rsid w:val="00810E64"/>
    <w:rsid w:val="00812A1D"/>
    <w:rsid w:val="00812CC4"/>
    <w:rsid w:val="0081447F"/>
    <w:rsid w:val="00814893"/>
    <w:rsid w:val="00816468"/>
    <w:rsid w:val="00817133"/>
    <w:rsid w:val="00817D75"/>
    <w:rsid w:val="00821719"/>
    <w:rsid w:val="00821A3A"/>
    <w:rsid w:val="00823949"/>
    <w:rsid w:val="00824032"/>
    <w:rsid w:val="008249E6"/>
    <w:rsid w:val="008251A4"/>
    <w:rsid w:val="00827ABF"/>
    <w:rsid w:val="00827EA9"/>
    <w:rsid w:val="008309EE"/>
    <w:rsid w:val="00831582"/>
    <w:rsid w:val="00832567"/>
    <w:rsid w:val="00833345"/>
    <w:rsid w:val="008341A3"/>
    <w:rsid w:val="008365F8"/>
    <w:rsid w:val="008372B9"/>
    <w:rsid w:val="008379AC"/>
    <w:rsid w:val="00840519"/>
    <w:rsid w:val="008448AB"/>
    <w:rsid w:val="008459FC"/>
    <w:rsid w:val="00850598"/>
    <w:rsid w:val="00850CBC"/>
    <w:rsid w:val="00851471"/>
    <w:rsid w:val="00852821"/>
    <w:rsid w:val="008549DA"/>
    <w:rsid w:val="00861757"/>
    <w:rsid w:val="0086357C"/>
    <w:rsid w:val="00865076"/>
    <w:rsid w:val="008665D1"/>
    <w:rsid w:val="0086740E"/>
    <w:rsid w:val="00867FFD"/>
    <w:rsid w:val="00871C59"/>
    <w:rsid w:val="008751BD"/>
    <w:rsid w:val="00875772"/>
    <w:rsid w:val="00876D51"/>
    <w:rsid w:val="008774FC"/>
    <w:rsid w:val="00877ED2"/>
    <w:rsid w:val="008904BF"/>
    <w:rsid w:val="00891938"/>
    <w:rsid w:val="008924DD"/>
    <w:rsid w:val="00892ED5"/>
    <w:rsid w:val="00893255"/>
    <w:rsid w:val="00894EBE"/>
    <w:rsid w:val="00895143"/>
    <w:rsid w:val="00895A7F"/>
    <w:rsid w:val="00896855"/>
    <w:rsid w:val="00896EE9"/>
    <w:rsid w:val="0089716A"/>
    <w:rsid w:val="008973D6"/>
    <w:rsid w:val="008A061A"/>
    <w:rsid w:val="008A19AA"/>
    <w:rsid w:val="008A3EB6"/>
    <w:rsid w:val="008A4F6B"/>
    <w:rsid w:val="008A618A"/>
    <w:rsid w:val="008A6457"/>
    <w:rsid w:val="008A71EA"/>
    <w:rsid w:val="008B1FBF"/>
    <w:rsid w:val="008B324A"/>
    <w:rsid w:val="008B324B"/>
    <w:rsid w:val="008B3B46"/>
    <w:rsid w:val="008B6FBE"/>
    <w:rsid w:val="008B71C8"/>
    <w:rsid w:val="008C3461"/>
    <w:rsid w:val="008C36BA"/>
    <w:rsid w:val="008C5E05"/>
    <w:rsid w:val="008C692D"/>
    <w:rsid w:val="008C7ED9"/>
    <w:rsid w:val="008D033D"/>
    <w:rsid w:val="008D113F"/>
    <w:rsid w:val="008D1BBD"/>
    <w:rsid w:val="008D271C"/>
    <w:rsid w:val="008D53DB"/>
    <w:rsid w:val="008D6341"/>
    <w:rsid w:val="008E0A4D"/>
    <w:rsid w:val="008E1128"/>
    <w:rsid w:val="008E112A"/>
    <w:rsid w:val="008E1141"/>
    <w:rsid w:val="008E1C48"/>
    <w:rsid w:val="008E1FFD"/>
    <w:rsid w:val="008E2B52"/>
    <w:rsid w:val="008E3B6F"/>
    <w:rsid w:val="008E48B7"/>
    <w:rsid w:val="008F09C4"/>
    <w:rsid w:val="008F2017"/>
    <w:rsid w:val="008F2050"/>
    <w:rsid w:val="008F31B4"/>
    <w:rsid w:val="00900126"/>
    <w:rsid w:val="009007BC"/>
    <w:rsid w:val="00900AE9"/>
    <w:rsid w:val="00901445"/>
    <w:rsid w:val="00903FB8"/>
    <w:rsid w:val="0090558B"/>
    <w:rsid w:val="00905892"/>
    <w:rsid w:val="009068CA"/>
    <w:rsid w:val="00907CFD"/>
    <w:rsid w:val="00910187"/>
    <w:rsid w:val="00913A8F"/>
    <w:rsid w:val="009159B2"/>
    <w:rsid w:val="009162BF"/>
    <w:rsid w:val="009164F3"/>
    <w:rsid w:val="0092092A"/>
    <w:rsid w:val="00923006"/>
    <w:rsid w:val="009243D3"/>
    <w:rsid w:val="00924B70"/>
    <w:rsid w:val="00925174"/>
    <w:rsid w:val="009258D5"/>
    <w:rsid w:val="00926C5D"/>
    <w:rsid w:val="00927691"/>
    <w:rsid w:val="009305A1"/>
    <w:rsid w:val="00930BC2"/>
    <w:rsid w:val="00931436"/>
    <w:rsid w:val="009321A8"/>
    <w:rsid w:val="009327ED"/>
    <w:rsid w:val="009335EF"/>
    <w:rsid w:val="009338C7"/>
    <w:rsid w:val="00934FD7"/>
    <w:rsid w:val="00935573"/>
    <w:rsid w:val="00936DCE"/>
    <w:rsid w:val="00937C0B"/>
    <w:rsid w:val="0094093F"/>
    <w:rsid w:val="00945AFE"/>
    <w:rsid w:val="009471D9"/>
    <w:rsid w:val="00947855"/>
    <w:rsid w:val="00950BC0"/>
    <w:rsid w:val="00951514"/>
    <w:rsid w:val="00951F67"/>
    <w:rsid w:val="00952314"/>
    <w:rsid w:val="00952DB8"/>
    <w:rsid w:val="00953BFF"/>
    <w:rsid w:val="009547A9"/>
    <w:rsid w:val="009547E2"/>
    <w:rsid w:val="009559E3"/>
    <w:rsid w:val="00956C6F"/>
    <w:rsid w:val="00960332"/>
    <w:rsid w:val="00960D8D"/>
    <w:rsid w:val="0096291E"/>
    <w:rsid w:val="00964A21"/>
    <w:rsid w:val="00971806"/>
    <w:rsid w:val="0097312B"/>
    <w:rsid w:val="0097571D"/>
    <w:rsid w:val="00975E69"/>
    <w:rsid w:val="00980598"/>
    <w:rsid w:val="00981485"/>
    <w:rsid w:val="0098213D"/>
    <w:rsid w:val="00982775"/>
    <w:rsid w:val="009858EA"/>
    <w:rsid w:val="00985A80"/>
    <w:rsid w:val="00985B1E"/>
    <w:rsid w:val="00986BC0"/>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28C"/>
    <w:rsid w:val="009B661B"/>
    <w:rsid w:val="009B703D"/>
    <w:rsid w:val="009B79D6"/>
    <w:rsid w:val="009C16CC"/>
    <w:rsid w:val="009C213F"/>
    <w:rsid w:val="009C2C5E"/>
    <w:rsid w:val="009C2C82"/>
    <w:rsid w:val="009C72BD"/>
    <w:rsid w:val="009C73EF"/>
    <w:rsid w:val="009D2907"/>
    <w:rsid w:val="009D2C52"/>
    <w:rsid w:val="009E0199"/>
    <w:rsid w:val="009E06BF"/>
    <w:rsid w:val="009E0A07"/>
    <w:rsid w:val="009E2471"/>
    <w:rsid w:val="009E362F"/>
    <w:rsid w:val="009E47B8"/>
    <w:rsid w:val="009E4827"/>
    <w:rsid w:val="009E70E3"/>
    <w:rsid w:val="009F297D"/>
    <w:rsid w:val="009F2B56"/>
    <w:rsid w:val="009F492E"/>
    <w:rsid w:val="009F5160"/>
    <w:rsid w:val="009F55B3"/>
    <w:rsid w:val="009F58C0"/>
    <w:rsid w:val="009F6869"/>
    <w:rsid w:val="009F73C0"/>
    <w:rsid w:val="009F7D84"/>
    <w:rsid w:val="009F7F2E"/>
    <w:rsid w:val="00A0068E"/>
    <w:rsid w:val="00A020CF"/>
    <w:rsid w:val="00A02441"/>
    <w:rsid w:val="00A0247F"/>
    <w:rsid w:val="00A03729"/>
    <w:rsid w:val="00A0487C"/>
    <w:rsid w:val="00A057BF"/>
    <w:rsid w:val="00A06959"/>
    <w:rsid w:val="00A109D0"/>
    <w:rsid w:val="00A128F8"/>
    <w:rsid w:val="00A15E13"/>
    <w:rsid w:val="00A16E76"/>
    <w:rsid w:val="00A173D7"/>
    <w:rsid w:val="00A177A2"/>
    <w:rsid w:val="00A207A7"/>
    <w:rsid w:val="00A20B1B"/>
    <w:rsid w:val="00A20F64"/>
    <w:rsid w:val="00A213D0"/>
    <w:rsid w:val="00A22E24"/>
    <w:rsid w:val="00A2387F"/>
    <w:rsid w:val="00A2429B"/>
    <w:rsid w:val="00A2738F"/>
    <w:rsid w:val="00A30C66"/>
    <w:rsid w:val="00A331DF"/>
    <w:rsid w:val="00A344AA"/>
    <w:rsid w:val="00A35DB4"/>
    <w:rsid w:val="00A378D8"/>
    <w:rsid w:val="00A41E82"/>
    <w:rsid w:val="00A4285A"/>
    <w:rsid w:val="00A44605"/>
    <w:rsid w:val="00A44B5B"/>
    <w:rsid w:val="00A44EE8"/>
    <w:rsid w:val="00A46AA4"/>
    <w:rsid w:val="00A505BC"/>
    <w:rsid w:val="00A518EA"/>
    <w:rsid w:val="00A53FBF"/>
    <w:rsid w:val="00A56DF9"/>
    <w:rsid w:val="00A60601"/>
    <w:rsid w:val="00A6063F"/>
    <w:rsid w:val="00A61CE3"/>
    <w:rsid w:val="00A644CE"/>
    <w:rsid w:val="00A72B22"/>
    <w:rsid w:val="00A7457F"/>
    <w:rsid w:val="00A77D81"/>
    <w:rsid w:val="00A8132C"/>
    <w:rsid w:val="00A83BA0"/>
    <w:rsid w:val="00A8403C"/>
    <w:rsid w:val="00A84B26"/>
    <w:rsid w:val="00A91A7D"/>
    <w:rsid w:val="00A96994"/>
    <w:rsid w:val="00A97D63"/>
    <w:rsid w:val="00AA09B9"/>
    <w:rsid w:val="00AA0D95"/>
    <w:rsid w:val="00AA1814"/>
    <w:rsid w:val="00AA37EB"/>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25FF"/>
    <w:rsid w:val="00AD4004"/>
    <w:rsid w:val="00AD437F"/>
    <w:rsid w:val="00AD473A"/>
    <w:rsid w:val="00AD4919"/>
    <w:rsid w:val="00AD6143"/>
    <w:rsid w:val="00AD7470"/>
    <w:rsid w:val="00AE6F46"/>
    <w:rsid w:val="00AE7968"/>
    <w:rsid w:val="00AE79FB"/>
    <w:rsid w:val="00AF0A33"/>
    <w:rsid w:val="00AF15A2"/>
    <w:rsid w:val="00AF6724"/>
    <w:rsid w:val="00B01C01"/>
    <w:rsid w:val="00B02E65"/>
    <w:rsid w:val="00B03AA5"/>
    <w:rsid w:val="00B040B6"/>
    <w:rsid w:val="00B06FC1"/>
    <w:rsid w:val="00B071B1"/>
    <w:rsid w:val="00B078A6"/>
    <w:rsid w:val="00B07BA3"/>
    <w:rsid w:val="00B1184E"/>
    <w:rsid w:val="00B1233B"/>
    <w:rsid w:val="00B12D48"/>
    <w:rsid w:val="00B13FF5"/>
    <w:rsid w:val="00B14490"/>
    <w:rsid w:val="00B1732E"/>
    <w:rsid w:val="00B175F6"/>
    <w:rsid w:val="00B17EAC"/>
    <w:rsid w:val="00B2002A"/>
    <w:rsid w:val="00B2035C"/>
    <w:rsid w:val="00B23620"/>
    <w:rsid w:val="00B24487"/>
    <w:rsid w:val="00B24E76"/>
    <w:rsid w:val="00B253B0"/>
    <w:rsid w:val="00B26835"/>
    <w:rsid w:val="00B302F3"/>
    <w:rsid w:val="00B30F8A"/>
    <w:rsid w:val="00B311D4"/>
    <w:rsid w:val="00B319DA"/>
    <w:rsid w:val="00B3252E"/>
    <w:rsid w:val="00B41ED0"/>
    <w:rsid w:val="00B4292B"/>
    <w:rsid w:val="00B44364"/>
    <w:rsid w:val="00B4511A"/>
    <w:rsid w:val="00B46C39"/>
    <w:rsid w:val="00B47B9C"/>
    <w:rsid w:val="00B5057F"/>
    <w:rsid w:val="00B52178"/>
    <w:rsid w:val="00B549F7"/>
    <w:rsid w:val="00B54B75"/>
    <w:rsid w:val="00B54EA0"/>
    <w:rsid w:val="00B620AC"/>
    <w:rsid w:val="00B64F01"/>
    <w:rsid w:val="00B67843"/>
    <w:rsid w:val="00B75567"/>
    <w:rsid w:val="00B767EB"/>
    <w:rsid w:val="00B77E26"/>
    <w:rsid w:val="00B8156F"/>
    <w:rsid w:val="00B81A07"/>
    <w:rsid w:val="00B81E8E"/>
    <w:rsid w:val="00B81E90"/>
    <w:rsid w:val="00B844FE"/>
    <w:rsid w:val="00B84EA0"/>
    <w:rsid w:val="00B86920"/>
    <w:rsid w:val="00B87927"/>
    <w:rsid w:val="00B87C05"/>
    <w:rsid w:val="00B94563"/>
    <w:rsid w:val="00B94E71"/>
    <w:rsid w:val="00B95752"/>
    <w:rsid w:val="00B95916"/>
    <w:rsid w:val="00B95AD4"/>
    <w:rsid w:val="00B97A93"/>
    <w:rsid w:val="00BA4250"/>
    <w:rsid w:val="00BA543B"/>
    <w:rsid w:val="00BA55FB"/>
    <w:rsid w:val="00BA5E5D"/>
    <w:rsid w:val="00BA7616"/>
    <w:rsid w:val="00BB2C2B"/>
    <w:rsid w:val="00BB3437"/>
    <w:rsid w:val="00BB3896"/>
    <w:rsid w:val="00BC06C0"/>
    <w:rsid w:val="00BC268D"/>
    <w:rsid w:val="00BC3410"/>
    <w:rsid w:val="00BC3979"/>
    <w:rsid w:val="00BD06D6"/>
    <w:rsid w:val="00BD1997"/>
    <w:rsid w:val="00BD1E4E"/>
    <w:rsid w:val="00BD6638"/>
    <w:rsid w:val="00BD7A3F"/>
    <w:rsid w:val="00BE16D9"/>
    <w:rsid w:val="00BE3EA9"/>
    <w:rsid w:val="00BE41EA"/>
    <w:rsid w:val="00BE47C1"/>
    <w:rsid w:val="00BE5D77"/>
    <w:rsid w:val="00BE6AC4"/>
    <w:rsid w:val="00BF512D"/>
    <w:rsid w:val="00BF54E4"/>
    <w:rsid w:val="00BF56B4"/>
    <w:rsid w:val="00BF667E"/>
    <w:rsid w:val="00BF67D5"/>
    <w:rsid w:val="00BF70A1"/>
    <w:rsid w:val="00C00503"/>
    <w:rsid w:val="00C0112B"/>
    <w:rsid w:val="00C02A60"/>
    <w:rsid w:val="00C035A3"/>
    <w:rsid w:val="00C0589C"/>
    <w:rsid w:val="00C06553"/>
    <w:rsid w:val="00C1060A"/>
    <w:rsid w:val="00C116FF"/>
    <w:rsid w:val="00C123FF"/>
    <w:rsid w:val="00C135EB"/>
    <w:rsid w:val="00C151E4"/>
    <w:rsid w:val="00C15480"/>
    <w:rsid w:val="00C155B3"/>
    <w:rsid w:val="00C165B3"/>
    <w:rsid w:val="00C17F90"/>
    <w:rsid w:val="00C207ED"/>
    <w:rsid w:val="00C2083B"/>
    <w:rsid w:val="00C21579"/>
    <w:rsid w:val="00C22902"/>
    <w:rsid w:val="00C255D6"/>
    <w:rsid w:val="00C25907"/>
    <w:rsid w:val="00C2641B"/>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386C"/>
    <w:rsid w:val="00C44677"/>
    <w:rsid w:val="00C44BF3"/>
    <w:rsid w:val="00C5109A"/>
    <w:rsid w:val="00C5226D"/>
    <w:rsid w:val="00C52D13"/>
    <w:rsid w:val="00C55B26"/>
    <w:rsid w:val="00C57B96"/>
    <w:rsid w:val="00C60730"/>
    <w:rsid w:val="00C60A80"/>
    <w:rsid w:val="00C6163C"/>
    <w:rsid w:val="00C62C10"/>
    <w:rsid w:val="00C66083"/>
    <w:rsid w:val="00C66293"/>
    <w:rsid w:val="00C673D6"/>
    <w:rsid w:val="00C6766E"/>
    <w:rsid w:val="00C70BD7"/>
    <w:rsid w:val="00C70D7F"/>
    <w:rsid w:val="00C71AA8"/>
    <w:rsid w:val="00C72D3B"/>
    <w:rsid w:val="00C73479"/>
    <w:rsid w:val="00C73A81"/>
    <w:rsid w:val="00C74FD5"/>
    <w:rsid w:val="00C80909"/>
    <w:rsid w:val="00C80CD1"/>
    <w:rsid w:val="00C812D9"/>
    <w:rsid w:val="00C8194B"/>
    <w:rsid w:val="00C81B18"/>
    <w:rsid w:val="00C81FAF"/>
    <w:rsid w:val="00C81FF9"/>
    <w:rsid w:val="00C8354A"/>
    <w:rsid w:val="00C8358F"/>
    <w:rsid w:val="00C83931"/>
    <w:rsid w:val="00C845D5"/>
    <w:rsid w:val="00C84B57"/>
    <w:rsid w:val="00C9251A"/>
    <w:rsid w:val="00C93093"/>
    <w:rsid w:val="00C93B60"/>
    <w:rsid w:val="00C93EA1"/>
    <w:rsid w:val="00C94EC7"/>
    <w:rsid w:val="00CA16D9"/>
    <w:rsid w:val="00CA189E"/>
    <w:rsid w:val="00CA2BE6"/>
    <w:rsid w:val="00CA5578"/>
    <w:rsid w:val="00CB0435"/>
    <w:rsid w:val="00CB04B1"/>
    <w:rsid w:val="00CB324B"/>
    <w:rsid w:val="00CB624D"/>
    <w:rsid w:val="00CB6386"/>
    <w:rsid w:val="00CB656A"/>
    <w:rsid w:val="00CC060D"/>
    <w:rsid w:val="00CC0786"/>
    <w:rsid w:val="00CC0ACC"/>
    <w:rsid w:val="00CC2D1F"/>
    <w:rsid w:val="00CC3162"/>
    <w:rsid w:val="00CC4A42"/>
    <w:rsid w:val="00CC79DC"/>
    <w:rsid w:val="00CD0A22"/>
    <w:rsid w:val="00CD137D"/>
    <w:rsid w:val="00CD3B00"/>
    <w:rsid w:val="00CD43AB"/>
    <w:rsid w:val="00CD4BFE"/>
    <w:rsid w:val="00CD641E"/>
    <w:rsid w:val="00CD6CC9"/>
    <w:rsid w:val="00CD75B6"/>
    <w:rsid w:val="00CD78F6"/>
    <w:rsid w:val="00CE1361"/>
    <w:rsid w:val="00CE192C"/>
    <w:rsid w:val="00CE1FCC"/>
    <w:rsid w:val="00CE2A86"/>
    <w:rsid w:val="00CE4ED0"/>
    <w:rsid w:val="00CE78A7"/>
    <w:rsid w:val="00CE7CB5"/>
    <w:rsid w:val="00CF07D2"/>
    <w:rsid w:val="00CF16EF"/>
    <w:rsid w:val="00CF3617"/>
    <w:rsid w:val="00CF3ABA"/>
    <w:rsid w:val="00D02DD5"/>
    <w:rsid w:val="00D07325"/>
    <w:rsid w:val="00D0786F"/>
    <w:rsid w:val="00D104DB"/>
    <w:rsid w:val="00D11347"/>
    <w:rsid w:val="00D119CB"/>
    <w:rsid w:val="00D14B88"/>
    <w:rsid w:val="00D15E28"/>
    <w:rsid w:val="00D20AC3"/>
    <w:rsid w:val="00D2138E"/>
    <w:rsid w:val="00D219FC"/>
    <w:rsid w:val="00D21D47"/>
    <w:rsid w:val="00D22374"/>
    <w:rsid w:val="00D24003"/>
    <w:rsid w:val="00D26F04"/>
    <w:rsid w:val="00D27171"/>
    <w:rsid w:val="00D279BF"/>
    <w:rsid w:val="00D317BA"/>
    <w:rsid w:val="00D32DC5"/>
    <w:rsid w:val="00D3302E"/>
    <w:rsid w:val="00D342C2"/>
    <w:rsid w:val="00D4034A"/>
    <w:rsid w:val="00D4374A"/>
    <w:rsid w:val="00D44421"/>
    <w:rsid w:val="00D45198"/>
    <w:rsid w:val="00D45808"/>
    <w:rsid w:val="00D4646C"/>
    <w:rsid w:val="00D47AD7"/>
    <w:rsid w:val="00D47CE8"/>
    <w:rsid w:val="00D50231"/>
    <w:rsid w:val="00D5043E"/>
    <w:rsid w:val="00D52095"/>
    <w:rsid w:val="00D53170"/>
    <w:rsid w:val="00D5431E"/>
    <w:rsid w:val="00D54C0E"/>
    <w:rsid w:val="00D5580E"/>
    <w:rsid w:val="00D55A20"/>
    <w:rsid w:val="00D561F1"/>
    <w:rsid w:val="00D615C7"/>
    <w:rsid w:val="00D63A43"/>
    <w:rsid w:val="00D63EBB"/>
    <w:rsid w:val="00D641ED"/>
    <w:rsid w:val="00D64A11"/>
    <w:rsid w:val="00D71087"/>
    <w:rsid w:val="00D756A8"/>
    <w:rsid w:val="00D75B19"/>
    <w:rsid w:val="00D75CD0"/>
    <w:rsid w:val="00D7640B"/>
    <w:rsid w:val="00D776C3"/>
    <w:rsid w:val="00D82325"/>
    <w:rsid w:val="00D858B5"/>
    <w:rsid w:val="00D85949"/>
    <w:rsid w:val="00D86E99"/>
    <w:rsid w:val="00D87B14"/>
    <w:rsid w:val="00D87DF7"/>
    <w:rsid w:val="00D90616"/>
    <w:rsid w:val="00D90D51"/>
    <w:rsid w:val="00D931B4"/>
    <w:rsid w:val="00D94462"/>
    <w:rsid w:val="00D95FE5"/>
    <w:rsid w:val="00D9731D"/>
    <w:rsid w:val="00DA3372"/>
    <w:rsid w:val="00DA708B"/>
    <w:rsid w:val="00DA78D9"/>
    <w:rsid w:val="00DB1362"/>
    <w:rsid w:val="00DB2890"/>
    <w:rsid w:val="00DB5CF2"/>
    <w:rsid w:val="00DB6129"/>
    <w:rsid w:val="00DB6CFF"/>
    <w:rsid w:val="00DB77B0"/>
    <w:rsid w:val="00DC0122"/>
    <w:rsid w:val="00DC12A9"/>
    <w:rsid w:val="00DC3517"/>
    <w:rsid w:val="00DC38C9"/>
    <w:rsid w:val="00DC4BD9"/>
    <w:rsid w:val="00DD2C7C"/>
    <w:rsid w:val="00DD5084"/>
    <w:rsid w:val="00DD7318"/>
    <w:rsid w:val="00DE1268"/>
    <w:rsid w:val="00DE20C0"/>
    <w:rsid w:val="00DE3431"/>
    <w:rsid w:val="00DE5F6D"/>
    <w:rsid w:val="00DE7A87"/>
    <w:rsid w:val="00DF3A20"/>
    <w:rsid w:val="00DF6BFB"/>
    <w:rsid w:val="00E00CF2"/>
    <w:rsid w:val="00E022F5"/>
    <w:rsid w:val="00E03E41"/>
    <w:rsid w:val="00E043DC"/>
    <w:rsid w:val="00E05654"/>
    <w:rsid w:val="00E05B9C"/>
    <w:rsid w:val="00E0779F"/>
    <w:rsid w:val="00E10580"/>
    <w:rsid w:val="00E10B81"/>
    <w:rsid w:val="00E111A0"/>
    <w:rsid w:val="00E12AA0"/>
    <w:rsid w:val="00E21ECE"/>
    <w:rsid w:val="00E2301E"/>
    <w:rsid w:val="00E25333"/>
    <w:rsid w:val="00E261CD"/>
    <w:rsid w:val="00E26E2F"/>
    <w:rsid w:val="00E31BF1"/>
    <w:rsid w:val="00E34139"/>
    <w:rsid w:val="00E37B2C"/>
    <w:rsid w:val="00E40A25"/>
    <w:rsid w:val="00E41875"/>
    <w:rsid w:val="00E42C81"/>
    <w:rsid w:val="00E438D6"/>
    <w:rsid w:val="00E43A42"/>
    <w:rsid w:val="00E4475B"/>
    <w:rsid w:val="00E449C1"/>
    <w:rsid w:val="00E471DC"/>
    <w:rsid w:val="00E51ACB"/>
    <w:rsid w:val="00E53190"/>
    <w:rsid w:val="00E56EA6"/>
    <w:rsid w:val="00E57B67"/>
    <w:rsid w:val="00E61870"/>
    <w:rsid w:val="00E62C3D"/>
    <w:rsid w:val="00E63BDB"/>
    <w:rsid w:val="00E65471"/>
    <w:rsid w:val="00E66350"/>
    <w:rsid w:val="00E66CA7"/>
    <w:rsid w:val="00E7023E"/>
    <w:rsid w:val="00E70E10"/>
    <w:rsid w:val="00E73B6B"/>
    <w:rsid w:val="00E7468B"/>
    <w:rsid w:val="00E75F59"/>
    <w:rsid w:val="00E77858"/>
    <w:rsid w:val="00E80B40"/>
    <w:rsid w:val="00E8347F"/>
    <w:rsid w:val="00E84DC3"/>
    <w:rsid w:val="00E862DF"/>
    <w:rsid w:val="00E869D3"/>
    <w:rsid w:val="00E90CFC"/>
    <w:rsid w:val="00E9215B"/>
    <w:rsid w:val="00E9533A"/>
    <w:rsid w:val="00EA108B"/>
    <w:rsid w:val="00EA1098"/>
    <w:rsid w:val="00EA1A65"/>
    <w:rsid w:val="00EA2DB3"/>
    <w:rsid w:val="00EA5201"/>
    <w:rsid w:val="00EA7E12"/>
    <w:rsid w:val="00EB0FB2"/>
    <w:rsid w:val="00EB1513"/>
    <w:rsid w:val="00EB3222"/>
    <w:rsid w:val="00EB6F43"/>
    <w:rsid w:val="00EC34C2"/>
    <w:rsid w:val="00ED2B12"/>
    <w:rsid w:val="00ED329E"/>
    <w:rsid w:val="00ED5293"/>
    <w:rsid w:val="00EE0531"/>
    <w:rsid w:val="00EE2478"/>
    <w:rsid w:val="00EE3C76"/>
    <w:rsid w:val="00EE446A"/>
    <w:rsid w:val="00EE6279"/>
    <w:rsid w:val="00EE7357"/>
    <w:rsid w:val="00EE762F"/>
    <w:rsid w:val="00EE7B8C"/>
    <w:rsid w:val="00EF188A"/>
    <w:rsid w:val="00EF201A"/>
    <w:rsid w:val="00EF5985"/>
    <w:rsid w:val="00EF625F"/>
    <w:rsid w:val="00EF6459"/>
    <w:rsid w:val="00EF6A54"/>
    <w:rsid w:val="00F00CE1"/>
    <w:rsid w:val="00F02AE9"/>
    <w:rsid w:val="00F03CB0"/>
    <w:rsid w:val="00F0674B"/>
    <w:rsid w:val="00F07639"/>
    <w:rsid w:val="00F11890"/>
    <w:rsid w:val="00F122C4"/>
    <w:rsid w:val="00F128A4"/>
    <w:rsid w:val="00F156C7"/>
    <w:rsid w:val="00F16586"/>
    <w:rsid w:val="00F169DB"/>
    <w:rsid w:val="00F17A45"/>
    <w:rsid w:val="00F20F62"/>
    <w:rsid w:val="00F22273"/>
    <w:rsid w:val="00F226D8"/>
    <w:rsid w:val="00F22D0D"/>
    <w:rsid w:val="00F23C07"/>
    <w:rsid w:val="00F247E3"/>
    <w:rsid w:val="00F25FA6"/>
    <w:rsid w:val="00F26A6D"/>
    <w:rsid w:val="00F26EAB"/>
    <w:rsid w:val="00F300DC"/>
    <w:rsid w:val="00F3153F"/>
    <w:rsid w:val="00F338AE"/>
    <w:rsid w:val="00F361DB"/>
    <w:rsid w:val="00F366C7"/>
    <w:rsid w:val="00F37B29"/>
    <w:rsid w:val="00F37E3F"/>
    <w:rsid w:val="00F44145"/>
    <w:rsid w:val="00F45B74"/>
    <w:rsid w:val="00F504F0"/>
    <w:rsid w:val="00F54D97"/>
    <w:rsid w:val="00F55A08"/>
    <w:rsid w:val="00F561F9"/>
    <w:rsid w:val="00F61EE3"/>
    <w:rsid w:val="00F62727"/>
    <w:rsid w:val="00F634AF"/>
    <w:rsid w:val="00F63687"/>
    <w:rsid w:val="00F64176"/>
    <w:rsid w:val="00F64901"/>
    <w:rsid w:val="00F65F90"/>
    <w:rsid w:val="00F7042A"/>
    <w:rsid w:val="00F719B0"/>
    <w:rsid w:val="00F7226D"/>
    <w:rsid w:val="00F73986"/>
    <w:rsid w:val="00F7464E"/>
    <w:rsid w:val="00F74D12"/>
    <w:rsid w:val="00F75E81"/>
    <w:rsid w:val="00F7642E"/>
    <w:rsid w:val="00F76DA0"/>
    <w:rsid w:val="00F773DE"/>
    <w:rsid w:val="00F8004B"/>
    <w:rsid w:val="00F802B2"/>
    <w:rsid w:val="00F80BAD"/>
    <w:rsid w:val="00F82E80"/>
    <w:rsid w:val="00F83849"/>
    <w:rsid w:val="00F84D60"/>
    <w:rsid w:val="00F9633A"/>
    <w:rsid w:val="00F96B31"/>
    <w:rsid w:val="00FA0D51"/>
    <w:rsid w:val="00FA1639"/>
    <w:rsid w:val="00FA1B7F"/>
    <w:rsid w:val="00FA2908"/>
    <w:rsid w:val="00FA6EF1"/>
    <w:rsid w:val="00FB0558"/>
    <w:rsid w:val="00FB069B"/>
    <w:rsid w:val="00FB0E98"/>
    <w:rsid w:val="00FB1D1E"/>
    <w:rsid w:val="00FB4FEE"/>
    <w:rsid w:val="00FB53D1"/>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2969"/>
    <w:rsid w:val="00FD2EF1"/>
    <w:rsid w:val="00FD3D71"/>
    <w:rsid w:val="00FD54CF"/>
    <w:rsid w:val="00FD5591"/>
    <w:rsid w:val="00FE0CEF"/>
    <w:rsid w:val="00FE2296"/>
    <w:rsid w:val="00FE2E1E"/>
    <w:rsid w:val="00FE3DAD"/>
    <w:rsid w:val="00FE4705"/>
    <w:rsid w:val="00FE5C5A"/>
    <w:rsid w:val="00FE7CAE"/>
    <w:rsid w:val="00FF1334"/>
    <w:rsid w:val="00FF29EB"/>
    <w:rsid w:val="00FF3791"/>
    <w:rsid w:val="00FF620A"/>
    <w:rsid w:val="00FF6297"/>
    <w:rsid w:val="00FF6A6F"/>
    <w:rsid w:val="00FF6BFF"/>
    <w:rsid w:val="00FF6DFB"/>
    <w:rsid w:val="00FF765E"/>
    <w:rsid w:val="00FF7EE3"/>
    <w:rsid w:val="024B086A"/>
    <w:rsid w:val="05177A13"/>
    <w:rsid w:val="05640907"/>
    <w:rsid w:val="057F4DA6"/>
    <w:rsid w:val="067B3F03"/>
    <w:rsid w:val="0ABE04E4"/>
    <w:rsid w:val="0BD05882"/>
    <w:rsid w:val="0C247805"/>
    <w:rsid w:val="0C8E798B"/>
    <w:rsid w:val="0D1A0C33"/>
    <w:rsid w:val="0F852BA1"/>
    <w:rsid w:val="198A2469"/>
    <w:rsid w:val="1BB81024"/>
    <w:rsid w:val="209367BA"/>
    <w:rsid w:val="263A5741"/>
    <w:rsid w:val="279A25BF"/>
    <w:rsid w:val="293F2972"/>
    <w:rsid w:val="2ADE3FEA"/>
    <w:rsid w:val="32E27652"/>
    <w:rsid w:val="33876717"/>
    <w:rsid w:val="36CB3434"/>
    <w:rsid w:val="3968533E"/>
    <w:rsid w:val="39A97F7B"/>
    <w:rsid w:val="3CF5377D"/>
    <w:rsid w:val="3FF445A9"/>
    <w:rsid w:val="40CD52E0"/>
    <w:rsid w:val="41DD0CA1"/>
    <w:rsid w:val="429A6694"/>
    <w:rsid w:val="43D322F8"/>
    <w:rsid w:val="457C7DBE"/>
    <w:rsid w:val="471C4A9D"/>
    <w:rsid w:val="48270794"/>
    <w:rsid w:val="48771E1D"/>
    <w:rsid w:val="48E52647"/>
    <w:rsid w:val="497C6219"/>
    <w:rsid w:val="49FF69DD"/>
    <w:rsid w:val="4E3E26DF"/>
    <w:rsid w:val="51275030"/>
    <w:rsid w:val="532D11DF"/>
    <w:rsid w:val="54FB6F56"/>
    <w:rsid w:val="552D40CE"/>
    <w:rsid w:val="55915A89"/>
    <w:rsid w:val="59DE3063"/>
    <w:rsid w:val="59F9238B"/>
    <w:rsid w:val="5BE17A95"/>
    <w:rsid w:val="5C5C1DAF"/>
    <w:rsid w:val="5EBC3339"/>
    <w:rsid w:val="5F1C5B9B"/>
    <w:rsid w:val="5F2D4A41"/>
    <w:rsid w:val="616A131A"/>
    <w:rsid w:val="64B17EC2"/>
    <w:rsid w:val="657D51CC"/>
    <w:rsid w:val="66AE7AE3"/>
    <w:rsid w:val="676515F6"/>
    <w:rsid w:val="68A01CE9"/>
    <w:rsid w:val="6CA5589A"/>
    <w:rsid w:val="6D362951"/>
    <w:rsid w:val="6DCF05A0"/>
    <w:rsid w:val="70E7268E"/>
    <w:rsid w:val="712B14C7"/>
    <w:rsid w:val="74985512"/>
    <w:rsid w:val="757E5049"/>
    <w:rsid w:val="75A2541D"/>
    <w:rsid w:val="797170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2"/>
    <w:autoRedefine/>
    <w:qFormat/>
    <w:uiPriority w:val="0"/>
    <w:pPr>
      <w:keepNext/>
      <w:keepLines/>
      <w:spacing w:before="260" w:after="260" w:line="416" w:lineRule="auto"/>
      <w:outlineLvl w:val="2"/>
    </w:pPr>
    <w:rPr>
      <w:b/>
      <w:sz w:val="32"/>
      <w:szCs w:val="20"/>
    </w:rPr>
  </w:style>
  <w:style w:type="paragraph" w:styleId="6">
    <w:name w:val="heading 4"/>
    <w:basedOn w:val="1"/>
    <w:next w:val="1"/>
    <w:link w:val="28"/>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31"/>
    <w:autoRedefine/>
    <w:qFormat/>
    <w:uiPriority w:val="0"/>
    <w:pPr>
      <w:ind w:firstLine="420" w:firstLineChars="200"/>
    </w:pPr>
  </w:style>
  <w:style w:type="paragraph" w:styleId="7">
    <w:name w:val="index 5"/>
    <w:basedOn w:val="1"/>
    <w:next w:val="1"/>
    <w:autoRedefine/>
    <w:qFormat/>
    <w:uiPriority w:val="0"/>
    <w:pPr>
      <w:ind w:left="800" w:leftChars="800"/>
    </w:pPr>
  </w:style>
  <w:style w:type="paragraph" w:styleId="8">
    <w:name w:val="Document Map"/>
    <w:basedOn w:val="1"/>
    <w:autoRedefine/>
    <w:semiHidden/>
    <w:qFormat/>
    <w:uiPriority w:val="0"/>
    <w:pPr>
      <w:shd w:val="clear" w:color="auto" w:fill="000080"/>
    </w:pPr>
  </w:style>
  <w:style w:type="paragraph" w:styleId="9">
    <w:name w:val="Body Text"/>
    <w:basedOn w:val="1"/>
    <w:next w:val="1"/>
    <w:autoRedefine/>
    <w:qFormat/>
    <w:uiPriority w:val="0"/>
    <w:pPr>
      <w:autoSpaceDE w:val="0"/>
      <w:autoSpaceDN w:val="0"/>
      <w:jc w:val="left"/>
    </w:pPr>
    <w:rPr>
      <w:rFonts w:ascii="宋体" w:hAnsi="宋体" w:cs="宋体"/>
      <w:kern w:val="0"/>
      <w:szCs w:val="21"/>
    </w:rPr>
  </w:style>
  <w:style w:type="paragraph" w:styleId="10">
    <w:name w:val="Body Text Indent"/>
    <w:basedOn w:val="1"/>
    <w:autoRedefine/>
    <w:qFormat/>
    <w:uiPriority w:val="0"/>
    <w:pPr>
      <w:spacing w:after="120"/>
      <w:ind w:left="420" w:leftChars="200"/>
    </w:pPr>
  </w:style>
  <w:style w:type="paragraph" w:styleId="11">
    <w:name w:val="Plain Text"/>
    <w:basedOn w:val="1"/>
    <w:link w:val="33"/>
    <w:autoRedefine/>
    <w:qFormat/>
    <w:uiPriority w:val="0"/>
    <w:pPr>
      <w:widowControl/>
      <w:spacing w:after="200" w:line="252" w:lineRule="auto"/>
      <w:jc w:val="left"/>
    </w:pPr>
    <w:rPr>
      <w:rFonts w:ascii="宋体" w:hAnsi="Courier New"/>
      <w:szCs w:val="20"/>
    </w:rPr>
  </w:style>
  <w:style w:type="paragraph" w:styleId="12">
    <w:name w:val="Date"/>
    <w:basedOn w:val="1"/>
    <w:next w:val="1"/>
    <w:link w:val="41"/>
    <w:autoRedefine/>
    <w:qFormat/>
    <w:uiPriority w:val="0"/>
    <w:rPr>
      <w:sz w:val="24"/>
      <w:szCs w:val="20"/>
    </w:rPr>
  </w:style>
  <w:style w:type="paragraph" w:styleId="13">
    <w:name w:val="Balloon Text"/>
    <w:basedOn w:val="1"/>
    <w:link w:val="29"/>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link w:val="30"/>
    <w:autoRedefine/>
    <w:qFormat/>
    <w:uiPriority w:val="99"/>
    <w:pPr>
      <w:pBdr>
        <w:bottom w:val="single" w:color="auto" w:sz="6" w:space="1"/>
      </w:pBdr>
      <w:tabs>
        <w:tab w:val="center" w:pos="4153"/>
        <w:tab w:val="right" w:pos="8306"/>
      </w:tabs>
      <w:snapToGrid w:val="0"/>
      <w:jc w:val="center"/>
    </w:pPr>
    <w:rPr>
      <w:sz w:val="18"/>
      <w:szCs w:val="18"/>
    </w:rPr>
  </w:style>
  <w:style w:type="paragraph" w:styleId="16">
    <w:name w:val="footnote text"/>
    <w:basedOn w:val="1"/>
    <w:next w:val="7"/>
    <w:autoRedefine/>
    <w:unhideWhenUsed/>
    <w:qFormat/>
    <w:uiPriority w:val="0"/>
    <w:pPr>
      <w:snapToGrid w:val="0"/>
      <w:jc w:val="left"/>
    </w:pPr>
    <w:rPr>
      <w:sz w:val="18"/>
      <w:szCs w:val="18"/>
    </w:rPr>
  </w:style>
  <w:style w:type="paragraph" w:styleId="17">
    <w:name w:val="Body Text Indent 3"/>
    <w:basedOn w:val="1"/>
    <w:link w:val="40"/>
    <w:autoRedefine/>
    <w:qFormat/>
    <w:uiPriority w:val="0"/>
    <w:pPr>
      <w:spacing w:after="120"/>
      <w:ind w:left="420" w:leftChars="200"/>
    </w:pPr>
    <w:rPr>
      <w:sz w:val="16"/>
      <w:szCs w:val="16"/>
    </w:rPr>
  </w:style>
  <w:style w:type="paragraph" w:styleId="1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autoRedefine/>
    <w:qFormat/>
    <w:uiPriority w:val="0"/>
  </w:style>
  <w:style w:type="character" w:styleId="23">
    <w:name w:val="Hyperlink"/>
    <w:qFormat/>
    <w:uiPriority w:val="0"/>
    <w:rPr>
      <w:color w:val="0000FF"/>
      <w:u w:val="single"/>
    </w:rPr>
  </w:style>
  <w:style w:type="paragraph" w:customStyle="1" w:styleId="24">
    <w:name w:val="Fließtext"/>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8"/>
      <w:sz w:val="21"/>
      <w:szCs w:val="20"/>
      <w:lang w:val="en-US" w:eastAsia="zh-CN" w:bidi="ar-SA"/>
    </w:rPr>
  </w:style>
  <w:style w:type="character" w:customStyle="1" w:styleId="25">
    <w:name w:val="正文缩进2格 Char"/>
    <w:link w:val="26"/>
    <w:autoRedefine/>
    <w:qFormat/>
    <w:uiPriority w:val="0"/>
    <w:rPr>
      <w:rFonts w:ascii="仿宋_GB2312" w:hAnsi="宋体" w:eastAsia="仿宋_GB2312"/>
      <w:sz w:val="31"/>
      <w:szCs w:val="28"/>
      <w:lang w:bidi="ar-SA"/>
    </w:rPr>
  </w:style>
  <w:style w:type="paragraph" w:customStyle="1" w:styleId="26">
    <w:name w:val="正文缩进2格"/>
    <w:basedOn w:val="1"/>
    <w:link w:val="25"/>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27">
    <w:name w:val="纯文本 Char"/>
    <w:autoRedefine/>
    <w:qFormat/>
    <w:uiPriority w:val="99"/>
    <w:rPr>
      <w:rFonts w:ascii="宋体" w:hAnsi="Courier New"/>
      <w:kern w:val="2"/>
      <w:sz w:val="21"/>
    </w:rPr>
  </w:style>
  <w:style w:type="character" w:customStyle="1" w:styleId="28">
    <w:name w:val="标题 4 Char"/>
    <w:basedOn w:val="21"/>
    <w:link w:val="6"/>
    <w:autoRedefine/>
    <w:qFormat/>
    <w:uiPriority w:val="0"/>
    <w:rPr>
      <w:rFonts w:ascii="Arial" w:hAnsi="Arial" w:eastAsia="黑体"/>
      <w:b/>
      <w:bCs/>
      <w:kern w:val="2"/>
      <w:sz w:val="28"/>
      <w:szCs w:val="28"/>
    </w:rPr>
  </w:style>
  <w:style w:type="character" w:customStyle="1" w:styleId="29">
    <w:name w:val="批注框文本 Char"/>
    <w:basedOn w:val="21"/>
    <w:link w:val="13"/>
    <w:autoRedefine/>
    <w:qFormat/>
    <w:uiPriority w:val="0"/>
    <w:rPr>
      <w:kern w:val="2"/>
      <w:sz w:val="18"/>
      <w:szCs w:val="18"/>
    </w:rPr>
  </w:style>
  <w:style w:type="character" w:customStyle="1" w:styleId="30">
    <w:name w:val="页眉 Char"/>
    <w:link w:val="15"/>
    <w:autoRedefine/>
    <w:qFormat/>
    <w:uiPriority w:val="99"/>
    <w:rPr>
      <w:kern w:val="2"/>
      <w:sz w:val="18"/>
      <w:szCs w:val="18"/>
    </w:rPr>
  </w:style>
  <w:style w:type="character" w:customStyle="1" w:styleId="31">
    <w:name w:val="正文缩进 Char"/>
    <w:link w:val="5"/>
    <w:autoRedefine/>
    <w:qFormat/>
    <w:uiPriority w:val="0"/>
    <w:rPr>
      <w:rFonts w:eastAsia="宋体"/>
      <w:kern w:val="2"/>
      <w:sz w:val="21"/>
      <w:szCs w:val="24"/>
      <w:lang w:val="en-US" w:eastAsia="zh-CN" w:bidi="ar-SA"/>
    </w:rPr>
  </w:style>
  <w:style w:type="character" w:customStyle="1" w:styleId="32">
    <w:name w:val="标题 3 Char"/>
    <w:basedOn w:val="21"/>
    <w:link w:val="4"/>
    <w:autoRedefine/>
    <w:qFormat/>
    <w:uiPriority w:val="0"/>
    <w:rPr>
      <w:b/>
      <w:kern w:val="2"/>
      <w:sz w:val="32"/>
    </w:rPr>
  </w:style>
  <w:style w:type="character" w:customStyle="1" w:styleId="33">
    <w:name w:val="纯文本 Char1"/>
    <w:basedOn w:val="21"/>
    <w:link w:val="11"/>
    <w:autoRedefine/>
    <w:qFormat/>
    <w:uiPriority w:val="0"/>
    <w:rPr>
      <w:rFonts w:ascii="宋体" w:hAnsi="Courier New" w:cs="Courier New"/>
      <w:kern w:val="2"/>
      <w:sz w:val="21"/>
      <w:szCs w:val="21"/>
    </w:rPr>
  </w:style>
  <w:style w:type="paragraph" w:customStyle="1" w:styleId="34">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
    <w:name w:val="Char Char Char Char"/>
    <w:basedOn w:val="8"/>
    <w:autoRedefine/>
    <w:qFormat/>
    <w:uiPriority w:val="0"/>
    <w:pPr>
      <w:adjustRightInd w:val="0"/>
      <w:snapToGrid w:val="0"/>
      <w:spacing w:line="360" w:lineRule="auto"/>
    </w:pPr>
    <w:rPr>
      <w:szCs w:val="20"/>
    </w:rPr>
  </w:style>
  <w:style w:type="paragraph" w:customStyle="1" w:styleId="36">
    <w:name w:val="Char"/>
    <w:basedOn w:val="1"/>
    <w:autoRedefine/>
    <w:qFormat/>
    <w:uiPriority w:val="0"/>
    <w:pPr>
      <w:tabs>
        <w:tab w:val="left" w:pos="360"/>
      </w:tabs>
    </w:pPr>
    <w:rPr>
      <w:color w:val="000000"/>
      <w:sz w:val="24"/>
    </w:rPr>
  </w:style>
  <w:style w:type="paragraph" w:customStyle="1" w:styleId="37">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8">
    <w:name w:val="Char1"/>
    <w:basedOn w:val="8"/>
    <w:autoRedefine/>
    <w:qFormat/>
    <w:uiPriority w:val="0"/>
    <w:rPr>
      <w:rFonts w:ascii="Tahoma" w:hAnsi="Tahoma"/>
      <w:sz w:val="24"/>
    </w:rPr>
  </w:style>
  <w:style w:type="character" w:customStyle="1" w:styleId="39">
    <w:name w:val="纯文本 Char2"/>
    <w:basedOn w:val="21"/>
    <w:autoRedefine/>
    <w:qFormat/>
    <w:uiPriority w:val="0"/>
    <w:rPr>
      <w:rFonts w:ascii="宋体" w:hAnsi="Courier New" w:eastAsia="宋体"/>
      <w:kern w:val="2"/>
      <w:sz w:val="24"/>
      <w:lang w:val="en-US" w:eastAsia="zh-CN" w:bidi="ar-SA"/>
    </w:rPr>
  </w:style>
  <w:style w:type="character" w:customStyle="1" w:styleId="40">
    <w:name w:val="正文文本缩进 3 Char"/>
    <w:basedOn w:val="21"/>
    <w:link w:val="17"/>
    <w:autoRedefine/>
    <w:qFormat/>
    <w:uiPriority w:val="0"/>
    <w:rPr>
      <w:kern w:val="2"/>
      <w:sz w:val="16"/>
      <w:szCs w:val="16"/>
    </w:rPr>
  </w:style>
  <w:style w:type="character" w:customStyle="1" w:styleId="41">
    <w:name w:val="日期 Char"/>
    <w:basedOn w:val="21"/>
    <w:link w:val="12"/>
    <w:autoRedefine/>
    <w:qFormat/>
    <w:uiPriority w:val="0"/>
    <w:rPr>
      <w:kern w:val="2"/>
      <w:sz w:val="24"/>
    </w:rPr>
  </w:style>
  <w:style w:type="paragraph" w:customStyle="1" w:styleId="42">
    <w:name w:val="正文_1"/>
    <w:autoRedefine/>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7FE-88DA-4944-B5DB-E41717E8ACFC}">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76</Pages>
  <Words>33422</Words>
  <Characters>39431</Characters>
  <Lines>219</Lines>
  <Paragraphs>61</Paragraphs>
  <TotalTime>0</TotalTime>
  <ScaleCrop>false</ScaleCrop>
  <LinksUpToDate>false</LinksUpToDate>
  <CharactersWithSpaces>40045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WPS_1527724934</cp:lastModifiedBy>
  <cp:lastPrinted>2019-04-16T01:48:00Z</cp:lastPrinted>
  <dcterms:modified xsi:type="dcterms:W3CDTF">2025-12-16T03:22:43Z</dcterms:modified>
  <dc:title>招标技术规格及要求</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D2B5DAABFEC74C6AA04E9BD09CE91D55_13</vt:lpwstr>
  </property>
  <property fmtid="{D5CDD505-2E9C-101B-9397-08002B2CF9AE}" pid="4" name="KSOTemplateDocerSaveRecord">
    <vt:lpwstr>eyJoZGlkIjoiZTNiMzYyMDlmZmY5MTg5OGNmODhlNDNmYWEwMjQzNDkiLCJ1c2VySWQiOiIzNzUwMTY1MzgifQ==</vt:lpwstr>
  </property>
</Properties>
</file>